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6220"/>
      </w:tblGrid>
      <w:tr w:rsidR="00547122" w:rsidRPr="007B3EB0" w14:paraId="04082C35" w14:textId="77777777" w:rsidTr="00ED5695">
        <w:tc>
          <w:tcPr>
            <w:tcW w:w="3423" w:type="dxa"/>
          </w:tcPr>
          <w:p w14:paraId="1CED0056" w14:textId="6735B409" w:rsidR="00547122" w:rsidRPr="007B3EB0" w:rsidRDefault="00547122" w:rsidP="000D0C58">
            <w:pPr>
              <w:spacing w:before="120" w:after="120"/>
              <w:rPr>
                <w:rFonts w:ascii="Avenir Next LT Pro" w:eastAsia="Montserrat" w:hAnsi="Avenir Next LT Pro" w:cs="Arial"/>
              </w:rPr>
            </w:pPr>
          </w:p>
        </w:tc>
        <w:tc>
          <w:tcPr>
            <w:tcW w:w="6221" w:type="dxa"/>
          </w:tcPr>
          <w:p w14:paraId="6F53FC6F" w14:textId="7E061B3C" w:rsidR="00547122" w:rsidRPr="00547122" w:rsidRDefault="00547122" w:rsidP="000D0C58">
            <w:pPr>
              <w:spacing w:before="120" w:after="120"/>
              <w:ind w:left="-142"/>
              <w:jc w:val="right"/>
              <w:rPr>
                <w:rFonts w:ascii="Avenir Next LT Pro" w:hAnsi="Avenir Next LT Pro" w:cs="Arial"/>
                <w:sz w:val="24"/>
                <w:szCs w:val="24"/>
                <w:lang w:val="es-MX"/>
              </w:rPr>
            </w:pPr>
            <w:r w:rsidRPr="00547122">
              <w:rPr>
                <w:rFonts w:ascii="Avenir Next LT Pro" w:hAnsi="Avenir Next LT Pro" w:cs="Arial"/>
                <w:sz w:val="24"/>
                <w:szCs w:val="24"/>
                <w:lang w:val="es-MX"/>
              </w:rPr>
              <w:t>Ciudad de México</w:t>
            </w:r>
            <w:r w:rsidR="00652FE8">
              <w:rPr>
                <w:rFonts w:ascii="Avenir Next LT Pro" w:hAnsi="Avenir Next LT Pro" w:cs="Arial"/>
                <w:sz w:val="24"/>
                <w:szCs w:val="24"/>
                <w:lang w:val="es-MX"/>
              </w:rPr>
              <w:t>,</w:t>
            </w:r>
            <w:r w:rsidRPr="00547122">
              <w:rPr>
                <w:rFonts w:ascii="Avenir Next LT Pro" w:hAnsi="Avenir Next LT Pro" w:cs="Arial"/>
                <w:sz w:val="24"/>
                <w:szCs w:val="24"/>
                <w:lang w:val="es-MX"/>
              </w:rPr>
              <w:t xml:space="preserve"> </w:t>
            </w:r>
            <w:r w:rsidR="0012446C">
              <w:rPr>
                <w:rFonts w:ascii="Avenir Next LT Pro" w:hAnsi="Avenir Next LT Pro" w:cs="Arial"/>
                <w:sz w:val="24"/>
                <w:szCs w:val="24"/>
                <w:lang w:val="es-MX"/>
              </w:rPr>
              <w:t>22</w:t>
            </w:r>
            <w:r w:rsidRPr="00547122">
              <w:rPr>
                <w:rFonts w:ascii="Avenir Next LT Pro" w:hAnsi="Avenir Next LT Pro" w:cs="Arial"/>
                <w:sz w:val="24"/>
                <w:szCs w:val="24"/>
                <w:lang w:val="es-MX"/>
              </w:rPr>
              <w:t xml:space="preserve"> de </w:t>
            </w:r>
            <w:r w:rsidR="0012446C">
              <w:rPr>
                <w:rFonts w:ascii="Avenir Next LT Pro" w:hAnsi="Avenir Next LT Pro" w:cs="Arial"/>
                <w:sz w:val="24"/>
                <w:szCs w:val="24"/>
                <w:lang w:val="es-MX"/>
              </w:rPr>
              <w:t>marzo</w:t>
            </w:r>
            <w:r w:rsidR="004F03C1">
              <w:rPr>
                <w:rFonts w:ascii="Avenir Next LT Pro" w:hAnsi="Avenir Next LT Pro" w:cs="Arial"/>
                <w:sz w:val="24"/>
                <w:szCs w:val="24"/>
                <w:lang w:val="es-MX"/>
              </w:rPr>
              <w:t xml:space="preserve"> </w:t>
            </w:r>
            <w:r w:rsidRPr="00547122">
              <w:rPr>
                <w:rFonts w:ascii="Avenir Next LT Pro" w:hAnsi="Avenir Next LT Pro" w:cs="Arial"/>
                <w:sz w:val="24"/>
                <w:szCs w:val="24"/>
                <w:lang w:val="es-MX"/>
              </w:rPr>
              <w:t>de 202</w:t>
            </w:r>
            <w:r w:rsidR="00F43D1C">
              <w:rPr>
                <w:rFonts w:ascii="Avenir Next LT Pro" w:hAnsi="Avenir Next LT Pro" w:cs="Arial"/>
                <w:sz w:val="24"/>
                <w:szCs w:val="24"/>
                <w:lang w:val="es-MX"/>
              </w:rPr>
              <w:t>3</w:t>
            </w:r>
          </w:p>
        </w:tc>
      </w:tr>
    </w:tbl>
    <w:p w14:paraId="6DB7146F" w14:textId="77777777" w:rsidR="00A5279C" w:rsidRDefault="00A5279C" w:rsidP="000D0C58">
      <w:pPr>
        <w:spacing w:before="120" w:after="120"/>
        <w:ind w:left="-142"/>
        <w:jc w:val="center"/>
        <w:rPr>
          <w:rFonts w:ascii="Avenir Next LT Pro" w:hAnsi="Avenir Next LT Pro" w:cs="Arial"/>
          <w:b/>
          <w:sz w:val="28"/>
          <w:szCs w:val="28"/>
        </w:rPr>
      </w:pPr>
    </w:p>
    <w:p w14:paraId="15B6E5F4" w14:textId="51C42B1F" w:rsidR="00547122" w:rsidRDefault="00E960A1" w:rsidP="000D0C58">
      <w:pPr>
        <w:spacing w:before="120" w:after="120"/>
        <w:ind w:left="-142"/>
        <w:jc w:val="center"/>
        <w:rPr>
          <w:rFonts w:ascii="Avenir Next LT Pro" w:hAnsi="Avenir Next LT Pro" w:cs="Arial"/>
          <w:b/>
          <w:sz w:val="28"/>
          <w:szCs w:val="28"/>
        </w:rPr>
      </w:pPr>
      <w:r w:rsidRPr="00E960A1">
        <w:rPr>
          <w:rFonts w:ascii="Avenir Next LT Pro" w:hAnsi="Avenir Next LT Pro" w:cs="Arial"/>
          <w:b/>
          <w:sz w:val="28"/>
          <w:szCs w:val="28"/>
        </w:rPr>
        <w:t xml:space="preserve">CONFERENCIA DE PRENSA </w:t>
      </w:r>
    </w:p>
    <w:p w14:paraId="6BF2930B" w14:textId="3C2D8F59" w:rsidR="00C974DA" w:rsidRDefault="00C974DA" w:rsidP="000D0C58">
      <w:pPr>
        <w:spacing w:before="120" w:after="120"/>
        <w:ind w:left="-142"/>
        <w:jc w:val="center"/>
        <w:rPr>
          <w:rFonts w:ascii="Avenir Next LT Pro" w:hAnsi="Avenir Next LT Pro" w:cs="Arial"/>
          <w:b/>
          <w:sz w:val="28"/>
          <w:szCs w:val="28"/>
        </w:rPr>
      </w:pPr>
    </w:p>
    <w:p w14:paraId="739E5EAC" w14:textId="0C24B1D0" w:rsidR="001A2108" w:rsidRPr="006B76A3" w:rsidRDefault="006A1363" w:rsidP="00706496">
      <w:pPr>
        <w:spacing w:before="360" w:after="240"/>
        <w:jc w:val="center"/>
        <w:rPr>
          <w:rFonts w:ascii="Avenir Next LT Pro" w:hAnsi="Avenir Next LT Pro" w:cs="Arial"/>
          <w:b/>
        </w:rPr>
      </w:pPr>
      <w:r w:rsidRPr="006B76A3">
        <w:rPr>
          <w:rFonts w:ascii="Avenir Next LT Pro" w:hAnsi="Avenir Next LT Pro" w:cs="Arial"/>
          <w:b/>
        </w:rPr>
        <w:t xml:space="preserve">DECLARACIÓN ANUAL </w:t>
      </w:r>
      <w:r w:rsidR="00225BC2" w:rsidRPr="006B76A3">
        <w:rPr>
          <w:rFonts w:ascii="Avenir Next LT Pro" w:hAnsi="Avenir Next LT Pro" w:cs="Arial"/>
          <w:b/>
        </w:rPr>
        <w:t>DE</w:t>
      </w:r>
      <w:r w:rsidRPr="006B76A3">
        <w:rPr>
          <w:rFonts w:ascii="Avenir Next LT Pro" w:hAnsi="Avenir Next LT Pro" w:cs="Arial"/>
          <w:b/>
        </w:rPr>
        <w:t xml:space="preserve"> PERSONAS MORALES</w:t>
      </w:r>
      <w:r w:rsidR="00225BC2" w:rsidRPr="006B76A3">
        <w:rPr>
          <w:rFonts w:ascii="Avenir Next LT Pro" w:hAnsi="Avenir Next LT Pro" w:cs="Arial"/>
          <w:b/>
        </w:rPr>
        <w:t xml:space="preserve"> - CAMBIOS MÁS RELEVANTES Y PROBLEMÁTICAS DETECTADAS,</w:t>
      </w:r>
      <w:r w:rsidRPr="006B76A3">
        <w:rPr>
          <w:rFonts w:ascii="Avenir Next LT Pro" w:hAnsi="Avenir Next LT Pro" w:cs="Arial"/>
          <w:b/>
        </w:rPr>
        <w:t xml:space="preserve"> AVANCES EN CFDI 4.0 Y TASAS EFECTIVAS DE ISR A GRANDES CONTRIBUYENTES</w:t>
      </w:r>
    </w:p>
    <w:p w14:paraId="1DAECB99" w14:textId="661778A4" w:rsidR="00706496" w:rsidRPr="00F90C57" w:rsidRDefault="00706496" w:rsidP="00706496">
      <w:pPr>
        <w:spacing w:before="360" w:after="240"/>
        <w:jc w:val="center"/>
        <w:rPr>
          <w:rFonts w:ascii="Avenir Next LT Pro" w:hAnsi="Avenir Next LT Pro" w:cs="Arial"/>
          <w:b/>
        </w:rPr>
      </w:pPr>
      <w:r w:rsidRPr="006B76A3">
        <w:rPr>
          <w:rFonts w:ascii="Avenir Next LT Pro" w:hAnsi="Avenir Next LT Pro" w:cs="Arial"/>
          <w:b/>
        </w:rPr>
        <w:t>RECOMENDACI</w:t>
      </w:r>
      <w:r w:rsidR="006A1363" w:rsidRPr="006B76A3">
        <w:rPr>
          <w:rFonts w:ascii="Avenir Next LT Pro" w:hAnsi="Avenir Next LT Pro" w:cs="Arial"/>
          <w:b/>
        </w:rPr>
        <w:t>O</w:t>
      </w:r>
      <w:r w:rsidRPr="006B76A3">
        <w:rPr>
          <w:rFonts w:ascii="Avenir Next LT Pro" w:hAnsi="Avenir Next LT Pro" w:cs="Arial"/>
          <w:b/>
        </w:rPr>
        <w:t>NES EN LA DECLARACIÓN ANUAL DE LAS PERSONAS MORALES</w:t>
      </w:r>
    </w:p>
    <w:p w14:paraId="5483251A" w14:textId="510DA366" w:rsidR="0016347E" w:rsidRPr="00FD0711" w:rsidRDefault="0016347E" w:rsidP="00706496">
      <w:pPr>
        <w:spacing w:before="360" w:after="240"/>
        <w:ind w:left="851" w:right="709"/>
        <w:jc w:val="center"/>
        <w:rPr>
          <w:rFonts w:ascii="Avenir Next LT Pro" w:hAnsi="Avenir Next LT Pro" w:cs="Arial"/>
          <w:b/>
        </w:rPr>
      </w:pPr>
      <w:r w:rsidRPr="00FD0711">
        <w:rPr>
          <w:rFonts w:ascii="Avenir Next LT Pro" w:hAnsi="Avenir Next LT Pro" w:cs="Arial"/>
          <w:b/>
        </w:rPr>
        <w:t xml:space="preserve">SOSTENIBILIDAD EMPRESARIAL: UNA VISIÓN A LARGO PLAZO </w:t>
      </w:r>
    </w:p>
    <w:p w14:paraId="71211B97" w14:textId="2A13CBEE" w:rsidR="00547122" w:rsidRPr="00FD0711" w:rsidRDefault="00547122" w:rsidP="00706496">
      <w:pPr>
        <w:spacing w:before="360" w:after="240"/>
        <w:ind w:left="851" w:right="709"/>
        <w:jc w:val="center"/>
        <w:rPr>
          <w:rFonts w:ascii="Avenir Next LT Pro" w:hAnsi="Avenir Next LT Pro" w:cs="Arial"/>
          <w:b/>
        </w:rPr>
      </w:pPr>
      <w:r w:rsidRPr="00FD0711">
        <w:rPr>
          <w:rFonts w:ascii="Avenir Next LT Pro" w:hAnsi="Avenir Next LT Pro" w:cs="Arial"/>
          <w:b/>
        </w:rPr>
        <w:t xml:space="preserve">ÍNDICE MEXICANO DE CONFIANZA ECONÓMICA (IMCE) </w:t>
      </w:r>
      <w:r w:rsidR="006736D8" w:rsidRPr="00FD0711">
        <w:rPr>
          <w:rFonts w:ascii="Avenir Next LT Pro" w:hAnsi="Avenir Next LT Pro" w:cs="Arial"/>
          <w:b/>
        </w:rPr>
        <w:br/>
      </w:r>
      <w:r w:rsidR="0012446C" w:rsidRPr="00FD0711">
        <w:rPr>
          <w:rFonts w:ascii="Avenir Next LT Pro" w:hAnsi="Avenir Next LT Pro" w:cs="Arial"/>
          <w:b/>
        </w:rPr>
        <w:t>FEBRERO</w:t>
      </w:r>
      <w:r w:rsidRPr="00FD0711">
        <w:rPr>
          <w:rFonts w:ascii="Avenir Next LT Pro" w:hAnsi="Avenir Next LT Pro" w:cs="Arial"/>
          <w:b/>
        </w:rPr>
        <w:t xml:space="preserve"> 202</w:t>
      </w:r>
      <w:r w:rsidR="00ED6B2F" w:rsidRPr="00FD0711">
        <w:rPr>
          <w:rFonts w:ascii="Avenir Next LT Pro" w:hAnsi="Avenir Next LT Pro" w:cs="Arial"/>
          <w:b/>
        </w:rPr>
        <w:t>3</w:t>
      </w:r>
    </w:p>
    <w:p w14:paraId="5D93DC7E" w14:textId="77777777" w:rsidR="00ED5695" w:rsidRDefault="00ED5695" w:rsidP="000D0C58">
      <w:pPr>
        <w:spacing w:before="120" w:after="120"/>
        <w:ind w:left="-142"/>
        <w:jc w:val="both"/>
        <w:rPr>
          <w:rFonts w:ascii="Avenir Next LT Pro" w:hAnsi="Avenir Next LT Pro" w:cs="Arial"/>
        </w:rPr>
      </w:pPr>
    </w:p>
    <w:p w14:paraId="059DCC13" w14:textId="77777777" w:rsidR="00706496" w:rsidRDefault="00706496" w:rsidP="000D0C58">
      <w:pPr>
        <w:spacing w:before="120" w:after="120"/>
        <w:ind w:left="-142"/>
        <w:jc w:val="both"/>
        <w:rPr>
          <w:rFonts w:ascii="Avenir Next LT Pro" w:hAnsi="Avenir Next LT Pro" w:cs="Arial"/>
        </w:rPr>
      </w:pPr>
    </w:p>
    <w:p w14:paraId="13FC14FC" w14:textId="34748784" w:rsidR="00547122" w:rsidRPr="00652382" w:rsidRDefault="008E08DF" w:rsidP="007745D8">
      <w:pPr>
        <w:spacing w:before="120"/>
        <w:ind w:left="284"/>
        <w:jc w:val="both"/>
        <w:rPr>
          <w:rFonts w:ascii="Avenir Next LT Pro" w:hAnsi="Avenir Next LT Pro" w:cs="Arial"/>
        </w:rPr>
      </w:pPr>
      <w:r>
        <w:rPr>
          <w:rFonts w:ascii="Avenir Next LT Pro" w:hAnsi="Avenir Next LT Pro" w:cs="Arial"/>
        </w:rPr>
        <w:t>Dra. Laura Grajeda Trejo</w:t>
      </w:r>
      <w:r w:rsidR="00547122" w:rsidRPr="00652382">
        <w:rPr>
          <w:rFonts w:ascii="Avenir Next LT Pro" w:hAnsi="Avenir Next LT Pro" w:cs="Arial"/>
        </w:rPr>
        <w:t xml:space="preserve"> </w:t>
      </w:r>
    </w:p>
    <w:p w14:paraId="48BDC5D0" w14:textId="1903A3D2" w:rsidR="00547122" w:rsidRDefault="00547122" w:rsidP="007745D8">
      <w:pPr>
        <w:spacing w:before="120"/>
        <w:ind w:left="284"/>
        <w:jc w:val="both"/>
        <w:rPr>
          <w:rFonts w:ascii="Avenir Next LT Pro" w:hAnsi="Avenir Next LT Pro" w:cs="Arial"/>
        </w:rPr>
      </w:pPr>
      <w:r w:rsidRPr="00652382">
        <w:rPr>
          <w:rFonts w:ascii="Avenir Next LT Pro" w:hAnsi="Avenir Next LT Pro" w:cs="Arial"/>
        </w:rPr>
        <w:t>President</w:t>
      </w:r>
      <w:r w:rsidR="008E08DF">
        <w:rPr>
          <w:rFonts w:ascii="Avenir Next LT Pro" w:hAnsi="Avenir Next LT Pro" w:cs="Arial"/>
        </w:rPr>
        <w:t>a</w:t>
      </w:r>
      <w:r w:rsidRPr="00652382">
        <w:rPr>
          <w:rFonts w:ascii="Avenir Next LT Pro" w:hAnsi="Avenir Next LT Pro" w:cs="Arial"/>
        </w:rPr>
        <w:t xml:space="preserve"> </w:t>
      </w:r>
      <w:r w:rsidR="007B7DE1">
        <w:rPr>
          <w:rFonts w:ascii="Avenir Next LT Pro" w:hAnsi="Avenir Next LT Pro" w:cs="Arial"/>
        </w:rPr>
        <w:t>del IMCP</w:t>
      </w:r>
    </w:p>
    <w:p w14:paraId="6B7FC08A" w14:textId="77777777" w:rsidR="005017EB" w:rsidRDefault="005017EB" w:rsidP="007745D8">
      <w:pPr>
        <w:spacing w:before="120"/>
        <w:ind w:left="284"/>
        <w:jc w:val="both"/>
        <w:rPr>
          <w:rFonts w:ascii="Avenir Next LT Pro" w:hAnsi="Avenir Next LT Pro" w:cs="Arial"/>
        </w:rPr>
      </w:pPr>
    </w:p>
    <w:p w14:paraId="146EEEB4" w14:textId="77777777" w:rsidR="005017EB" w:rsidRPr="005017EB" w:rsidRDefault="005017EB" w:rsidP="005017EB">
      <w:pPr>
        <w:spacing w:before="120"/>
        <w:ind w:left="284"/>
        <w:jc w:val="both"/>
        <w:rPr>
          <w:rFonts w:ascii="Avenir Next LT Pro" w:hAnsi="Avenir Next LT Pro" w:cs="Arial"/>
        </w:rPr>
      </w:pPr>
      <w:r w:rsidRPr="005017EB">
        <w:rPr>
          <w:rFonts w:ascii="Avenir Next LT Pro" w:hAnsi="Avenir Next LT Pro" w:cs="Arial"/>
        </w:rPr>
        <w:t xml:space="preserve">C.P.C. Luis Carlos Figueroa Moncada </w:t>
      </w:r>
    </w:p>
    <w:p w14:paraId="6A74B63C" w14:textId="7EC8191F" w:rsidR="005017EB" w:rsidRDefault="005017EB" w:rsidP="005017EB">
      <w:pPr>
        <w:spacing w:before="120"/>
        <w:ind w:left="284"/>
        <w:jc w:val="both"/>
        <w:rPr>
          <w:rFonts w:ascii="Avenir Next LT Pro" w:hAnsi="Avenir Next LT Pro" w:cs="Arial"/>
        </w:rPr>
      </w:pPr>
      <w:r w:rsidRPr="005017EB">
        <w:rPr>
          <w:rFonts w:ascii="Avenir Next LT Pro" w:hAnsi="Avenir Next LT Pro" w:cs="Arial"/>
        </w:rPr>
        <w:t>Presidente de la Comisión de Síndicos del IMCP</w:t>
      </w:r>
    </w:p>
    <w:p w14:paraId="3BB07726" w14:textId="7BD7BEB3" w:rsidR="00EE01B1" w:rsidRDefault="00EE01B1" w:rsidP="007745D8">
      <w:pPr>
        <w:spacing w:before="120"/>
        <w:ind w:left="284"/>
        <w:jc w:val="both"/>
        <w:rPr>
          <w:rFonts w:ascii="Avenir Next LT Pro" w:hAnsi="Avenir Next LT Pro" w:cs="Arial"/>
        </w:rPr>
      </w:pPr>
    </w:p>
    <w:p w14:paraId="4B209063" w14:textId="293764F0" w:rsidR="00812238" w:rsidRPr="00812238" w:rsidRDefault="00812238" w:rsidP="00812238">
      <w:pPr>
        <w:spacing w:before="120"/>
        <w:ind w:left="284"/>
        <w:jc w:val="both"/>
        <w:rPr>
          <w:rFonts w:ascii="Avenir Next LT Pro" w:hAnsi="Avenir Next LT Pro" w:cs="Arial"/>
        </w:rPr>
      </w:pPr>
      <w:r w:rsidRPr="00812238">
        <w:rPr>
          <w:rFonts w:ascii="Avenir Next LT Pro" w:hAnsi="Avenir Next LT Pro" w:cs="Arial"/>
        </w:rPr>
        <w:t xml:space="preserve">C.P.C. </w:t>
      </w:r>
      <w:r w:rsidR="0012446C">
        <w:rPr>
          <w:rFonts w:ascii="Avenir Next LT Pro" w:hAnsi="Avenir Next LT Pro" w:cs="Arial"/>
        </w:rPr>
        <w:t>Leobardo Brizuela Arce</w:t>
      </w:r>
    </w:p>
    <w:p w14:paraId="3B50069F" w14:textId="77777777" w:rsidR="00812238" w:rsidRPr="00812238" w:rsidRDefault="00812238" w:rsidP="00812238">
      <w:pPr>
        <w:spacing w:before="120"/>
        <w:ind w:left="284"/>
        <w:jc w:val="both"/>
        <w:rPr>
          <w:rFonts w:ascii="Avenir Next LT Pro" w:hAnsi="Avenir Next LT Pro" w:cs="Arial"/>
        </w:rPr>
      </w:pPr>
      <w:r w:rsidRPr="00812238">
        <w:rPr>
          <w:rFonts w:ascii="Avenir Next LT Pro" w:hAnsi="Avenir Next LT Pro" w:cs="Arial"/>
        </w:rPr>
        <w:t>Expresidente del IMCP</w:t>
      </w:r>
    </w:p>
    <w:p w14:paraId="656FE5A9" w14:textId="5AD24A28" w:rsidR="00916E43" w:rsidRDefault="00916E43" w:rsidP="00916E43">
      <w:pPr>
        <w:spacing w:before="120"/>
        <w:ind w:left="284"/>
        <w:jc w:val="both"/>
        <w:rPr>
          <w:rFonts w:ascii="Avenir Next LT Pro" w:hAnsi="Avenir Next LT Pro" w:cs="Arial"/>
        </w:rPr>
      </w:pPr>
    </w:p>
    <w:p w14:paraId="3681B616" w14:textId="124E8B38" w:rsidR="00547122" w:rsidRPr="003B7388" w:rsidRDefault="00DE08F3" w:rsidP="007745D8">
      <w:pPr>
        <w:spacing w:before="120"/>
        <w:ind w:left="284"/>
        <w:jc w:val="both"/>
        <w:rPr>
          <w:rFonts w:ascii="Avenir Next LT Pro" w:hAnsi="Avenir Next LT Pro" w:cs="Arial"/>
          <w:lang w:val="es-MX"/>
        </w:rPr>
      </w:pPr>
      <w:r w:rsidRPr="003B7388">
        <w:rPr>
          <w:rFonts w:ascii="Avenir Next LT Pro" w:hAnsi="Avenir Next LT Pro" w:cs="Arial"/>
          <w:lang w:val="es-MX"/>
        </w:rPr>
        <w:t xml:space="preserve">Lic. Ernesto </w:t>
      </w:r>
      <w:r w:rsidR="003B7388" w:rsidRPr="003B7388">
        <w:rPr>
          <w:rFonts w:ascii="Avenir Next LT Pro" w:hAnsi="Avenir Next LT Pro" w:cs="Arial"/>
          <w:lang w:val="es-MX"/>
        </w:rPr>
        <w:t>O´Farrill Santo</w:t>
      </w:r>
      <w:r w:rsidR="003B7388">
        <w:rPr>
          <w:rFonts w:ascii="Avenir Next LT Pro" w:hAnsi="Avenir Next LT Pro" w:cs="Arial"/>
          <w:lang w:val="es-MX"/>
        </w:rPr>
        <w:t>scoy</w:t>
      </w:r>
    </w:p>
    <w:p w14:paraId="29333B11" w14:textId="70C698E9" w:rsidR="00547122" w:rsidRDefault="003B7388" w:rsidP="007745D8">
      <w:pPr>
        <w:spacing w:before="120"/>
        <w:ind w:left="284"/>
        <w:jc w:val="both"/>
        <w:rPr>
          <w:rFonts w:ascii="Avenir Next LT Pro" w:hAnsi="Avenir Next LT Pro" w:cs="Arial"/>
        </w:rPr>
      </w:pPr>
      <w:r>
        <w:rPr>
          <w:rFonts w:ascii="Avenir Next LT Pro" w:hAnsi="Avenir Next LT Pro" w:cs="Arial"/>
        </w:rPr>
        <w:t xml:space="preserve">Presidente de la Comisión de Análisis Económico </w:t>
      </w:r>
      <w:r w:rsidR="00CD02D4">
        <w:rPr>
          <w:rFonts w:ascii="Avenir Next LT Pro" w:hAnsi="Avenir Next LT Pro" w:cs="Arial"/>
        </w:rPr>
        <w:t>del IMCP</w:t>
      </w:r>
    </w:p>
    <w:p w14:paraId="7586C14E" w14:textId="602D8570" w:rsidR="00736813" w:rsidRDefault="00736813">
      <w:pPr>
        <w:rPr>
          <w:rFonts w:ascii="Avenir Next LT Pro" w:hAnsi="Avenir Next LT Pro" w:cs="Arial"/>
          <w:b/>
          <w:bCs/>
        </w:rPr>
      </w:pPr>
      <w:r>
        <w:rPr>
          <w:rFonts w:ascii="Avenir Next LT Pro" w:hAnsi="Avenir Next LT Pro" w:cs="Arial"/>
          <w:b/>
          <w:bCs/>
        </w:rPr>
        <w:br w:type="page"/>
      </w:r>
    </w:p>
    <w:p w14:paraId="2A1AE977" w14:textId="77777777" w:rsidR="001C1CE8" w:rsidRPr="00E27037" w:rsidRDefault="001C1CE8" w:rsidP="004E5EB4">
      <w:pPr>
        <w:jc w:val="center"/>
        <w:rPr>
          <w:rFonts w:ascii="Avenir Next LT Pro" w:hAnsi="Avenir Next LT Pro" w:cs="Arial"/>
          <w:b/>
        </w:rPr>
      </w:pPr>
    </w:p>
    <w:p w14:paraId="5990EB8E" w14:textId="07522E93" w:rsidR="003F57BA" w:rsidRPr="00F90C57" w:rsidRDefault="00A92E62" w:rsidP="00AD2B39">
      <w:pPr>
        <w:spacing w:after="120"/>
        <w:jc w:val="center"/>
        <w:rPr>
          <w:rFonts w:ascii="Avenir Next LT Pro" w:hAnsi="Avenir Next LT Pro" w:cs="Arial"/>
          <w:b/>
        </w:rPr>
      </w:pPr>
      <w:r w:rsidRPr="00A92E62">
        <w:rPr>
          <w:rFonts w:ascii="Avenir Next LT Pro" w:hAnsi="Avenir Next LT Pro" w:cs="Arial"/>
          <w:b/>
        </w:rPr>
        <w:t>DECLARACIÓN ANUAL DE PERSONAS MORALES - CAMBIOS MÁS RELEVANTES Y PROBLEMÁTICAS DETECTADAS, AVANCES EN CFDI 4.0 Y TASAS EFECTIVAS DE ISR A GRANDES CONTRIBUYENTES</w:t>
      </w:r>
    </w:p>
    <w:p w14:paraId="2ABD4FF1" w14:textId="77777777" w:rsidR="001D4D3A" w:rsidRPr="001A0B01" w:rsidRDefault="001D4D3A" w:rsidP="001D4D3A">
      <w:pPr>
        <w:spacing w:before="120" w:after="120"/>
        <w:jc w:val="both"/>
        <w:rPr>
          <w:rFonts w:ascii="Avenir Next LT Pro" w:hAnsi="Avenir Next LT Pro" w:cstheme="minorHAnsi"/>
          <w:lang w:val="es-ES"/>
        </w:rPr>
      </w:pPr>
      <w:r>
        <w:rPr>
          <w:rFonts w:ascii="Avenir Next LT Pro" w:hAnsi="Avenir Next LT Pro" w:cstheme="minorHAnsi"/>
          <w:lang w:val="es-ES"/>
        </w:rPr>
        <w:t>L</w:t>
      </w:r>
      <w:r w:rsidRPr="00E27037">
        <w:rPr>
          <w:rFonts w:ascii="Avenir Next LT Pro" w:hAnsi="Avenir Next LT Pro" w:cstheme="minorHAnsi"/>
          <w:lang w:val="es-ES"/>
        </w:rPr>
        <w:t xml:space="preserve">os </w:t>
      </w:r>
      <w:r w:rsidRPr="004E7AF2">
        <w:rPr>
          <w:rFonts w:ascii="Avenir Next LT Pro" w:hAnsi="Avenir Next LT Pro" w:cstheme="minorHAnsi"/>
          <w:b/>
          <w:bCs/>
          <w:lang w:val="es-ES"/>
        </w:rPr>
        <w:t>c</w:t>
      </w:r>
      <w:r w:rsidRPr="00C546EB">
        <w:rPr>
          <w:rFonts w:ascii="Avenir Next LT Pro" w:hAnsi="Avenir Next LT Pro" w:cstheme="minorHAnsi"/>
          <w:b/>
          <w:bCs/>
          <w:lang w:val="es-ES"/>
        </w:rPr>
        <w:t>ambios más relevantes</w:t>
      </w:r>
      <w:r w:rsidRPr="001A0B01">
        <w:rPr>
          <w:rFonts w:ascii="Avenir Next LT Pro" w:hAnsi="Avenir Next LT Pro" w:cstheme="minorHAnsi"/>
          <w:lang w:val="es-ES"/>
        </w:rPr>
        <w:t xml:space="preserve"> del aplicativo en contraste con el año pasado</w:t>
      </w:r>
      <w:r>
        <w:rPr>
          <w:rFonts w:ascii="Avenir Next LT Pro" w:hAnsi="Avenir Next LT Pro" w:cstheme="minorHAnsi"/>
          <w:lang w:val="es-ES"/>
        </w:rPr>
        <w:t xml:space="preserve"> son</w:t>
      </w:r>
      <w:r w:rsidRPr="001A0B01">
        <w:rPr>
          <w:rFonts w:ascii="Avenir Next LT Pro" w:hAnsi="Avenir Next LT Pro" w:cstheme="minorHAnsi"/>
          <w:lang w:val="es-ES"/>
        </w:rPr>
        <w:t>:</w:t>
      </w:r>
    </w:p>
    <w:p w14:paraId="3BB08F6B" w14:textId="77777777" w:rsidR="001D4D3A" w:rsidRPr="00DB2949" w:rsidRDefault="001D4D3A" w:rsidP="001D4D3A">
      <w:pPr>
        <w:pStyle w:val="Prrafodelista"/>
        <w:numPr>
          <w:ilvl w:val="0"/>
          <w:numId w:val="29"/>
        </w:numPr>
        <w:spacing w:before="120" w:after="120"/>
        <w:jc w:val="both"/>
        <w:rPr>
          <w:rFonts w:ascii="Avenir Next LT Pro" w:hAnsi="Avenir Next LT Pro" w:cstheme="minorHAnsi"/>
          <w:spacing w:val="-4"/>
          <w:lang w:val="es-ES"/>
        </w:rPr>
      </w:pPr>
      <w:r w:rsidRPr="00DB2949">
        <w:rPr>
          <w:rFonts w:ascii="Avenir Next LT Pro" w:hAnsi="Avenir Next LT Pro" w:cstheme="minorHAnsi"/>
          <w:b/>
          <w:bCs/>
          <w:spacing w:val="-4"/>
          <w:lang w:val="es-ES"/>
        </w:rPr>
        <w:t>En la sección de estados financieros</w:t>
      </w:r>
      <w:r w:rsidRPr="00DB2949">
        <w:rPr>
          <w:rFonts w:ascii="Avenir Next LT Pro" w:hAnsi="Avenir Next LT Pro" w:cstheme="minorHAnsi"/>
          <w:spacing w:val="-4"/>
          <w:lang w:val="es-ES"/>
        </w:rPr>
        <w:t xml:space="preserve"> se incorporaron el estado de flujo de efectivo y el estado de cambios en el capital contable. Destacamos que </w:t>
      </w:r>
      <w:r w:rsidRPr="00DB2949">
        <w:rPr>
          <w:rFonts w:ascii="Avenir Next LT Pro" w:hAnsi="Avenir Next LT Pro" w:cstheme="minorHAnsi"/>
          <w:spacing w:val="-4"/>
          <w:u w:val="single"/>
          <w:lang w:val="es-ES"/>
        </w:rPr>
        <w:t xml:space="preserve">el apartado de los estados financieros solo se habilitará si la entidad no dictamina sus estados financieros y no presenta la Información Sobre su Situación Fiscal (ISSIF). </w:t>
      </w:r>
      <w:r>
        <w:rPr>
          <w:rFonts w:ascii="Avenir Next LT Pro" w:hAnsi="Avenir Next LT Pro"/>
          <w:spacing w:val="-4"/>
          <w:lang w:val="es-ES"/>
        </w:rPr>
        <w:t>P</w:t>
      </w:r>
      <w:r w:rsidRPr="00DB2949">
        <w:rPr>
          <w:rFonts w:ascii="Avenir Next LT Pro" w:hAnsi="Avenir Next LT Pro"/>
          <w:spacing w:val="-4"/>
          <w:lang w:val="es-ES"/>
        </w:rPr>
        <w:t xml:space="preserve">ara las personas morales que se encuentren obligadas a presentar la Información Sobre </w:t>
      </w:r>
      <w:r w:rsidRPr="006B76A3">
        <w:rPr>
          <w:rFonts w:ascii="Avenir Next LT Pro" w:hAnsi="Avenir Next LT Pro"/>
          <w:spacing w:val="-4"/>
          <w:lang w:val="es-ES"/>
        </w:rPr>
        <w:t>Situación Fiscal (974 millones de pesos por ingresos acumulables, que coticen en bolsa, residentes en el extranjero o que realicen operaciones entre partes relacionadas, entre otros), la información del archivo debe adjuntarse en la propia</w:t>
      </w:r>
      <w:r w:rsidRPr="00DB2949">
        <w:rPr>
          <w:rFonts w:ascii="Avenir Next LT Pro" w:hAnsi="Avenir Next LT Pro"/>
          <w:spacing w:val="-4"/>
          <w:lang w:val="es-ES"/>
        </w:rPr>
        <w:t xml:space="preserve"> declaración.</w:t>
      </w:r>
    </w:p>
    <w:p w14:paraId="7F7ABE8E" w14:textId="77777777" w:rsidR="001D4D3A" w:rsidRPr="00E27037" w:rsidRDefault="001D4D3A" w:rsidP="001D4D3A">
      <w:pPr>
        <w:pStyle w:val="Prrafodelista"/>
        <w:numPr>
          <w:ilvl w:val="0"/>
          <w:numId w:val="29"/>
        </w:numPr>
        <w:spacing w:before="120" w:after="120"/>
        <w:jc w:val="both"/>
        <w:rPr>
          <w:rFonts w:ascii="Avenir Next LT Pro" w:hAnsi="Avenir Next LT Pro" w:cstheme="minorHAnsi"/>
          <w:lang w:val="es-ES"/>
        </w:rPr>
      </w:pPr>
      <w:r w:rsidRPr="00E27037">
        <w:rPr>
          <w:rFonts w:ascii="Avenir Next LT Pro" w:hAnsi="Avenir Next LT Pro" w:cstheme="minorHAnsi"/>
          <w:b/>
          <w:bCs/>
          <w:lang w:val="es-ES"/>
        </w:rPr>
        <w:t>Los estados financieros y la conciliación contable fiscal deben ser llenados en forma comparativa</w:t>
      </w:r>
      <w:r w:rsidRPr="00E27037">
        <w:rPr>
          <w:rFonts w:ascii="Avenir Next LT Pro" w:hAnsi="Avenir Next LT Pro" w:cstheme="minorHAnsi"/>
          <w:lang w:val="es-ES"/>
        </w:rPr>
        <w:t>, es decir, considerando las cifras del año 2022 y 2021. Asimismo, contempla un apartado para agregar notas en cada uno de los conceptos que integran los estados financieros.</w:t>
      </w:r>
    </w:p>
    <w:p w14:paraId="22ED40C1" w14:textId="77777777" w:rsidR="001D4D3A" w:rsidRPr="00FF7F9D" w:rsidRDefault="001D4D3A" w:rsidP="001D4D3A">
      <w:pPr>
        <w:pStyle w:val="Prrafodelista"/>
        <w:numPr>
          <w:ilvl w:val="0"/>
          <w:numId w:val="29"/>
        </w:numPr>
        <w:spacing w:before="120" w:after="120"/>
        <w:jc w:val="both"/>
        <w:rPr>
          <w:rFonts w:ascii="Avenir Next LT Pro" w:hAnsi="Avenir Next LT Pro" w:cstheme="minorHAnsi"/>
          <w:b/>
          <w:bCs/>
          <w:spacing w:val="-4"/>
          <w:lang w:val="es-ES"/>
        </w:rPr>
      </w:pPr>
      <w:r w:rsidRPr="00FF7F9D">
        <w:rPr>
          <w:rFonts w:ascii="Avenir Next LT Pro" w:hAnsi="Avenir Next LT Pro" w:cstheme="minorHAnsi"/>
          <w:spacing w:val="-4"/>
          <w:lang w:val="es-ES"/>
        </w:rPr>
        <w:t xml:space="preserve">Respecto al estado de situación financiera </w:t>
      </w:r>
      <w:r w:rsidRPr="00FF7F9D">
        <w:rPr>
          <w:rFonts w:ascii="Avenir Next LT Pro" w:hAnsi="Avenir Next LT Pro" w:cstheme="minorHAnsi"/>
          <w:b/>
          <w:bCs/>
          <w:spacing w:val="-4"/>
          <w:lang w:val="es-ES"/>
        </w:rPr>
        <w:t xml:space="preserve">se incluyen nuevos rubros de activo, pasivo y capital. </w:t>
      </w:r>
      <w:r>
        <w:rPr>
          <w:rFonts w:ascii="Avenir Next LT Pro" w:hAnsi="Avenir Next LT Pro" w:cstheme="minorHAnsi"/>
          <w:spacing w:val="-4"/>
          <w:lang w:val="es-ES"/>
        </w:rPr>
        <w:t>También</w:t>
      </w:r>
      <w:r w:rsidRPr="00FF7F9D">
        <w:rPr>
          <w:rFonts w:ascii="Avenir Next LT Pro" w:hAnsi="Avenir Next LT Pro" w:cstheme="minorHAnsi"/>
          <w:spacing w:val="-4"/>
          <w:lang w:val="es-ES"/>
        </w:rPr>
        <w:t xml:space="preserve"> se agregó el campo “notas” en cada cuenta contable para realizar aclaraciones o precisiones en cuanto a su integración o variación. </w:t>
      </w:r>
    </w:p>
    <w:p w14:paraId="02D9E6A3" w14:textId="77777777" w:rsidR="001D4D3A" w:rsidRPr="004C70BC" w:rsidRDefault="001D4D3A" w:rsidP="001D4D3A">
      <w:pPr>
        <w:pStyle w:val="Prrafodelista"/>
        <w:numPr>
          <w:ilvl w:val="0"/>
          <w:numId w:val="29"/>
        </w:numPr>
        <w:spacing w:before="120" w:after="120"/>
        <w:jc w:val="both"/>
        <w:rPr>
          <w:rFonts w:ascii="Avenir Next LT Pro" w:hAnsi="Avenir Next LT Pro" w:cstheme="minorHAnsi"/>
          <w:spacing w:val="-4"/>
          <w:lang w:val="es-ES"/>
        </w:rPr>
      </w:pPr>
      <w:r w:rsidRPr="004C70BC">
        <w:rPr>
          <w:rFonts w:ascii="Avenir Next LT Pro" w:hAnsi="Avenir Next LT Pro" w:cstheme="minorHAnsi"/>
          <w:spacing w:val="-4"/>
          <w:lang w:val="es-ES"/>
        </w:rPr>
        <w:t>Se actualizó el estado de resultados integral para incorporar el detalle de Otros Resultados Integrales (ORIS). En el estado de resultados integral del ejercicio 2022.</w:t>
      </w:r>
    </w:p>
    <w:p w14:paraId="7C71A95E" w14:textId="77777777" w:rsidR="001D4D3A" w:rsidRPr="00E27037" w:rsidRDefault="001D4D3A" w:rsidP="001D4D3A">
      <w:pPr>
        <w:pStyle w:val="Prrafodelista"/>
        <w:numPr>
          <w:ilvl w:val="0"/>
          <w:numId w:val="29"/>
        </w:numPr>
        <w:spacing w:before="120" w:after="120"/>
        <w:jc w:val="both"/>
        <w:rPr>
          <w:rFonts w:ascii="Avenir Next LT Pro" w:hAnsi="Avenir Next LT Pro" w:cstheme="minorHAnsi"/>
          <w:lang w:val="es-ES"/>
        </w:rPr>
      </w:pPr>
      <w:r w:rsidRPr="00E27037">
        <w:rPr>
          <w:rFonts w:ascii="Avenir Next LT Pro" w:hAnsi="Avenir Next LT Pro" w:cstheme="minorHAnsi"/>
          <w:lang w:val="es-ES"/>
        </w:rPr>
        <w:t xml:space="preserve">En el </w:t>
      </w:r>
      <w:r w:rsidRPr="00E27037">
        <w:rPr>
          <w:rFonts w:ascii="Avenir Next LT Pro" w:hAnsi="Avenir Next LT Pro" w:cstheme="minorHAnsi"/>
          <w:b/>
          <w:bCs/>
          <w:lang w:val="es-ES"/>
        </w:rPr>
        <w:t xml:space="preserve">estado de resultados integral del ejercicio 2022 </w:t>
      </w:r>
      <w:r w:rsidRPr="00E27037">
        <w:rPr>
          <w:rFonts w:ascii="Avenir Next LT Pro" w:hAnsi="Avenir Next LT Pro" w:cstheme="minorHAnsi"/>
          <w:lang w:val="es-ES"/>
        </w:rPr>
        <w:t>deberá clasificarse cada partida entre partes relacionadas y partes no relacionadas.</w:t>
      </w:r>
    </w:p>
    <w:p w14:paraId="2F7B7729" w14:textId="77777777" w:rsidR="001D4D3A" w:rsidRPr="00C13690" w:rsidRDefault="001D4D3A" w:rsidP="001D4D3A">
      <w:pPr>
        <w:pStyle w:val="Prrafodelista"/>
        <w:numPr>
          <w:ilvl w:val="0"/>
          <w:numId w:val="29"/>
        </w:numPr>
        <w:spacing w:before="120" w:after="120"/>
        <w:jc w:val="both"/>
        <w:rPr>
          <w:rFonts w:ascii="Avenir Next LT Pro" w:hAnsi="Avenir Next LT Pro" w:cstheme="minorHAnsi"/>
          <w:lang w:val="es-ES"/>
        </w:rPr>
      </w:pPr>
      <w:r w:rsidRPr="00E27037">
        <w:rPr>
          <w:rFonts w:ascii="Avenir Next LT Pro" w:hAnsi="Avenir Next LT Pro" w:cstheme="minorHAnsi"/>
          <w:b/>
          <w:bCs/>
          <w:lang w:val="es-ES"/>
        </w:rPr>
        <w:t>Para el llenado del estado de flujo de efectivo</w:t>
      </w:r>
      <w:r w:rsidRPr="00E27037">
        <w:rPr>
          <w:rFonts w:ascii="Avenir Next LT Pro" w:hAnsi="Avenir Next LT Pro" w:cstheme="minorHAnsi"/>
          <w:lang w:val="es-ES"/>
        </w:rPr>
        <w:t xml:space="preserve"> se puede optar por aplicar el métod</w:t>
      </w:r>
      <w:r w:rsidRPr="00C13690">
        <w:rPr>
          <w:rFonts w:ascii="Avenir Next LT Pro" w:hAnsi="Avenir Next LT Pro" w:cstheme="minorHAnsi"/>
          <w:lang w:val="es-ES"/>
        </w:rPr>
        <w:t>o directo o indirecto, en caso de que se considere el segundo el dato de la utilidad neta se precargará directamente del estado de resultados integral.</w:t>
      </w:r>
    </w:p>
    <w:p w14:paraId="2E971B9D" w14:textId="77777777" w:rsidR="001D4D3A" w:rsidRPr="00C13690" w:rsidRDefault="001D4D3A" w:rsidP="001D4D3A">
      <w:pPr>
        <w:pStyle w:val="Prrafodelista"/>
        <w:numPr>
          <w:ilvl w:val="0"/>
          <w:numId w:val="29"/>
        </w:numPr>
        <w:spacing w:before="120" w:after="120"/>
        <w:jc w:val="both"/>
        <w:rPr>
          <w:rFonts w:ascii="Avenir Next LT Pro" w:hAnsi="Avenir Next LT Pro" w:cstheme="minorHAnsi"/>
          <w:lang w:val="es-ES"/>
        </w:rPr>
      </w:pPr>
      <w:r w:rsidRPr="00C13690">
        <w:rPr>
          <w:rFonts w:ascii="Avenir Next LT Pro" w:hAnsi="Avenir Next LT Pro" w:cstheme="minorHAnsi"/>
          <w:b/>
          <w:bCs/>
          <w:lang w:val="es-ES"/>
        </w:rPr>
        <w:t>Referente al estado de cambios en el capital contable</w:t>
      </w:r>
      <w:r w:rsidRPr="00C13690">
        <w:rPr>
          <w:rFonts w:ascii="Avenir Next LT Pro" w:hAnsi="Avenir Next LT Pro" w:cstheme="minorHAnsi"/>
          <w:lang w:val="es-ES"/>
        </w:rPr>
        <w:t>, se debe partir de los saldos al 1 de diciembre 2021 y, una vez que se tenga el saldo inicial cargado se capturan los movimientos desglosados por concepto para 2021 y 2022.</w:t>
      </w:r>
    </w:p>
    <w:p w14:paraId="760B26F4" w14:textId="77777777" w:rsidR="001D4D3A" w:rsidRPr="00C13690" w:rsidRDefault="001D4D3A" w:rsidP="001D4D3A">
      <w:pPr>
        <w:pStyle w:val="Prrafodelista"/>
        <w:numPr>
          <w:ilvl w:val="0"/>
          <w:numId w:val="29"/>
        </w:numPr>
        <w:spacing w:before="120" w:after="120"/>
        <w:jc w:val="both"/>
        <w:rPr>
          <w:rFonts w:ascii="Avenir Next LT Pro" w:hAnsi="Avenir Next LT Pro" w:cstheme="minorHAnsi"/>
          <w:lang w:val="es-ES"/>
        </w:rPr>
      </w:pPr>
      <w:r w:rsidRPr="00C13690">
        <w:rPr>
          <w:rFonts w:ascii="Avenir Next LT Pro" w:hAnsi="Avenir Next LT Pro" w:cstheme="minorHAnsi"/>
          <w:lang w:val="es-ES"/>
        </w:rPr>
        <w:t>En la presentación de la conciliación contable fiscal se determina el resultado fiscal del ejercicio, ya que anteriormente reflejaba la utilidad fiscal.</w:t>
      </w:r>
    </w:p>
    <w:p w14:paraId="24E26570" w14:textId="77777777" w:rsidR="001D4D3A" w:rsidRPr="00C13690" w:rsidRDefault="001D4D3A" w:rsidP="001D4D3A">
      <w:pPr>
        <w:pStyle w:val="Prrafodelista"/>
        <w:numPr>
          <w:ilvl w:val="0"/>
          <w:numId w:val="29"/>
        </w:numPr>
        <w:spacing w:before="120" w:after="120"/>
        <w:jc w:val="both"/>
        <w:rPr>
          <w:rFonts w:ascii="Avenir Next LT Pro" w:hAnsi="Avenir Next LT Pro" w:cstheme="minorHAnsi"/>
          <w:lang w:val="es-ES"/>
        </w:rPr>
      </w:pPr>
      <w:r w:rsidRPr="00C13690">
        <w:rPr>
          <w:rFonts w:ascii="Avenir Next LT Pro" w:hAnsi="Avenir Next LT Pro" w:cstheme="minorHAnsi"/>
          <w:lang w:val="es-ES"/>
        </w:rPr>
        <w:t>Respecto del llenado en general, se solicita que todos los campos sean llenados al menos con un cero; asimismo</w:t>
      </w:r>
      <w:r>
        <w:rPr>
          <w:rFonts w:ascii="Avenir Next LT Pro" w:hAnsi="Avenir Next LT Pro" w:cstheme="minorHAnsi"/>
          <w:lang w:val="es-ES"/>
        </w:rPr>
        <w:t>,</w:t>
      </w:r>
      <w:r w:rsidRPr="00C13690">
        <w:rPr>
          <w:rFonts w:ascii="Avenir Next LT Pro" w:hAnsi="Avenir Next LT Pro" w:cstheme="minorHAnsi"/>
          <w:lang w:val="es-ES"/>
        </w:rPr>
        <w:t xml:space="preserve"> se solicita el detalle de los ingresos exentos y no acumulables y se pide el detalle mensual de los honorarios pagados a personas físicas y de RESICO, entre otros. </w:t>
      </w:r>
    </w:p>
    <w:p w14:paraId="1C5A4AD6" w14:textId="0937233D" w:rsidR="001D4D3A" w:rsidRPr="00C13690" w:rsidRDefault="001D4D3A" w:rsidP="001D4D3A">
      <w:pPr>
        <w:spacing w:before="240" w:after="120"/>
        <w:jc w:val="both"/>
        <w:rPr>
          <w:rFonts w:ascii="Avenir Next LT Pro" w:hAnsi="Avenir Next LT Pro" w:cstheme="minorHAnsi"/>
          <w:b/>
          <w:bCs/>
          <w:lang w:val="es-ES"/>
        </w:rPr>
      </w:pPr>
      <w:r w:rsidRPr="00C13690">
        <w:rPr>
          <w:rFonts w:ascii="Avenir Next LT Pro" w:hAnsi="Avenir Next LT Pro" w:cstheme="minorHAnsi"/>
          <w:b/>
          <w:bCs/>
          <w:lang w:val="es-ES"/>
        </w:rPr>
        <w:t>Problemáticas detectadas</w:t>
      </w:r>
    </w:p>
    <w:p w14:paraId="4EF5C2B7" w14:textId="77777777" w:rsidR="001D4D3A" w:rsidRPr="00C13690" w:rsidRDefault="001D4D3A" w:rsidP="001D4D3A">
      <w:pPr>
        <w:jc w:val="both"/>
        <w:rPr>
          <w:rFonts w:ascii="Avenir Next LT Pro" w:hAnsi="Avenir Next LT Pro" w:cs="Segoe UI"/>
        </w:rPr>
      </w:pPr>
      <w:r w:rsidRPr="00C13690">
        <w:rPr>
          <w:rFonts w:ascii="Avenir Next LT Pro" w:hAnsi="Avenir Next LT Pro" w:cstheme="minorHAnsi"/>
          <w:lang w:val="es-ES"/>
        </w:rPr>
        <w:t>Por medio de nuestros 60 colegios federados, hemos detectado alguna</w:t>
      </w:r>
      <w:r w:rsidRPr="00C13690">
        <w:rPr>
          <w:rFonts w:ascii="Avenir Next LT Pro" w:hAnsi="Avenir Next LT Pro" w:cs="Segoe UI"/>
        </w:rPr>
        <w:t xml:space="preserve">s </w:t>
      </w:r>
      <w:r w:rsidRPr="00C13690">
        <w:rPr>
          <w:rFonts w:ascii="Avenir Next LT Pro" w:hAnsi="Avenir Next LT Pro" w:cs="Segoe UI"/>
          <w:b/>
          <w:bCs/>
        </w:rPr>
        <w:t xml:space="preserve">problemáticas </w:t>
      </w:r>
      <w:r w:rsidRPr="00C13690">
        <w:rPr>
          <w:rFonts w:ascii="Avenir Next LT Pro" w:hAnsi="Avenir Next LT Pro" w:cs="Segoe UI"/>
        </w:rPr>
        <w:t>al momento de realizar la preparación de la declaración en cuestión:</w:t>
      </w:r>
    </w:p>
    <w:p w14:paraId="453BD18E" w14:textId="77777777" w:rsidR="001D4D3A" w:rsidRPr="00C13690" w:rsidRDefault="001D4D3A" w:rsidP="001D4D3A">
      <w:pPr>
        <w:pStyle w:val="NormalWeb"/>
        <w:numPr>
          <w:ilvl w:val="0"/>
          <w:numId w:val="33"/>
        </w:numPr>
        <w:spacing w:before="120" w:beforeAutospacing="0"/>
        <w:ind w:left="1066" w:hanging="357"/>
        <w:jc w:val="both"/>
        <w:rPr>
          <w:rFonts w:ascii="Avenir Next LT Pro" w:eastAsiaTheme="minorEastAsia" w:hAnsi="Avenir Next LT Pro" w:cs="Segoe UI"/>
          <w:lang w:eastAsia="en-US"/>
        </w:rPr>
      </w:pPr>
      <w:r w:rsidRPr="00C13690">
        <w:rPr>
          <w:rFonts w:ascii="Avenir Next LT Pro" w:eastAsiaTheme="minorEastAsia" w:hAnsi="Avenir Next LT Pro" w:cs="Segoe UI"/>
          <w:lang w:eastAsia="en-US"/>
        </w:rPr>
        <w:lastRenderedPageBreak/>
        <w:t xml:space="preserve">Existe </w:t>
      </w:r>
      <w:proofErr w:type="spellStart"/>
      <w:r w:rsidRPr="00C13690">
        <w:rPr>
          <w:rFonts w:ascii="Avenir Next LT Pro" w:eastAsiaTheme="minorEastAsia" w:hAnsi="Avenir Next LT Pro" w:cs="Segoe UI"/>
          <w:b/>
          <w:bCs/>
          <w:lang w:eastAsia="en-US"/>
        </w:rPr>
        <w:t>pérdida</w:t>
      </w:r>
      <w:proofErr w:type="spellEnd"/>
      <w:r w:rsidRPr="00C13690">
        <w:rPr>
          <w:rFonts w:ascii="Avenir Next LT Pro" w:eastAsiaTheme="minorEastAsia" w:hAnsi="Avenir Next LT Pro" w:cs="Segoe UI"/>
          <w:b/>
          <w:bCs/>
          <w:lang w:eastAsia="en-US"/>
        </w:rPr>
        <w:t xml:space="preserve"> de </w:t>
      </w:r>
      <w:proofErr w:type="spellStart"/>
      <w:r w:rsidRPr="00C13690">
        <w:rPr>
          <w:rFonts w:ascii="Avenir Next LT Pro" w:eastAsiaTheme="minorEastAsia" w:hAnsi="Avenir Next LT Pro" w:cs="Segoe UI"/>
          <w:b/>
          <w:bCs/>
          <w:lang w:eastAsia="en-US"/>
        </w:rPr>
        <w:t>información</w:t>
      </w:r>
      <w:proofErr w:type="spellEnd"/>
      <w:r w:rsidRPr="00C13690">
        <w:rPr>
          <w:rFonts w:ascii="Avenir Next LT Pro" w:eastAsiaTheme="minorEastAsia" w:hAnsi="Avenir Next LT Pro" w:cs="Segoe UI"/>
          <w:lang w:eastAsia="en-US"/>
        </w:rPr>
        <w:t xml:space="preserve"> capturada por el contribuyente en el aplicativo, a pesar de estar </w:t>
      </w:r>
      <w:proofErr w:type="spellStart"/>
      <w:r w:rsidRPr="00C13690">
        <w:rPr>
          <w:rFonts w:ascii="Avenir Next LT Pro" w:eastAsiaTheme="minorEastAsia" w:hAnsi="Avenir Next LT Pro" w:cs="Segoe UI"/>
          <w:lang w:eastAsia="en-US"/>
        </w:rPr>
        <w:t>guardándola</w:t>
      </w:r>
      <w:proofErr w:type="spellEnd"/>
      <w:r w:rsidRPr="00C13690">
        <w:rPr>
          <w:rFonts w:ascii="Avenir Next LT Pro" w:eastAsiaTheme="minorEastAsia" w:hAnsi="Avenir Next LT Pro" w:cs="Segoe UI"/>
          <w:lang w:eastAsia="en-US"/>
        </w:rPr>
        <w:t xml:space="preserve">. Esto exige que el contribuyente capture el 100% de la </w:t>
      </w:r>
      <w:proofErr w:type="spellStart"/>
      <w:r w:rsidRPr="00C13690">
        <w:rPr>
          <w:rFonts w:ascii="Avenir Next LT Pro" w:eastAsiaTheme="minorEastAsia" w:hAnsi="Avenir Next LT Pro" w:cs="Segoe UI"/>
          <w:lang w:eastAsia="en-US"/>
        </w:rPr>
        <w:t>información</w:t>
      </w:r>
      <w:proofErr w:type="spellEnd"/>
      <w:r w:rsidRPr="00C13690">
        <w:rPr>
          <w:rFonts w:ascii="Avenir Next LT Pro" w:eastAsiaTheme="minorEastAsia" w:hAnsi="Avenir Next LT Pro" w:cs="Segoe UI"/>
          <w:lang w:eastAsia="en-US"/>
        </w:rPr>
        <w:t xml:space="preserve"> en una sola </w:t>
      </w:r>
      <w:proofErr w:type="spellStart"/>
      <w:r w:rsidRPr="00C13690">
        <w:rPr>
          <w:rFonts w:ascii="Avenir Next LT Pro" w:eastAsiaTheme="minorEastAsia" w:hAnsi="Avenir Next LT Pro" w:cs="Segoe UI"/>
          <w:lang w:eastAsia="en-US"/>
        </w:rPr>
        <w:t>ocasión</w:t>
      </w:r>
      <w:proofErr w:type="spellEnd"/>
      <w:r w:rsidRPr="00C13690">
        <w:rPr>
          <w:rFonts w:ascii="Avenir Next LT Pro" w:eastAsiaTheme="minorEastAsia" w:hAnsi="Avenir Next LT Pro" w:cs="Segoe UI"/>
          <w:lang w:eastAsia="en-US"/>
        </w:rPr>
        <w:t xml:space="preserve"> y sin interrupciones. </w:t>
      </w:r>
    </w:p>
    <w:p w14:paraId="22E2FDB8" w14:textId="77777777" w:rsidR="001D4D3A" w:rsidRPr="00C13690" w:rsidRDefault="001D4D3A" w:rsidP="001D4D3A">
      <w:pPr>
        <w:pStyle w:val="NormalWeb"/>
        <w:numPr>
          <w:ilvl w:val="0"/>
          <w:numId w:val="33"/>
        </w:numPr>
        <w:jc w:val="both"/>
        <w:rPr>
          <w:rFonts w:ascii="Avenir Next LT Pro" w:eastAsiaTheme="minorEastAsia" w:hAnsi="Avenir Next LT Pro" w:cs="Segoe UI"/>
          <w:lang w:eastAsia="en-US"/>
        </w:rPr>
      </w:pPr>
      <w:r w:rsidRPr="00C13690">
        <w:rPr>
          <w:rFonts w:ascii="Avenir Next LT Pro" w:eastAsiaTheme="minorEastAsia" w:hAnsi="Avenir Next LT Pro" w:cs="Segoe UI"/>
          <w:lang w:eastAsia="en-US"/>
        </w:rPr>
        <w:t xml:space="preserve">El nivel de detalle de la </w:t>
      </w:r>
      <w:proofErr w:type="spellStart"/>
      <w:r w:rsidRPr="00C13690">
        <w:rPr>
          <w:rFonts w:ascii="Avenir Next LT Pro" w:eastAsiaTheme="minorEastAsia" w:hAnsi="Avenir Next LT Pro" w:cs="Segoe UI"/>
          <w:lang w:eastAsia="en-US"/>
        </w:rPr>
        <w:t>información</w:t>
      </w:r>
      <w:proofErr w:type="spellEnd"/>
      <w:r w:rsidRPr="00C13690">
        <w:rPr>
          <w:rFonts w:ascii="Avenir Next LT Pro" w:eastAsiaTheme="minorEastAsia" w:hAnsi="Avenir Next LT Pro" w:cs="Segoe UI"/>
          <w:lang w:eastAsia="en-US"/>
        </w:rPr>
        <w:t xml:space="preserve"> requerida y el tipo de interfase con el usuario, está ocasionando que los contribuyentes requieran en promedio de </w:t>
      </w:r>
      <w:r w:rsidRPr="00C13690">
        <w:rPr>
          <w:rFonts w:ascii="Avenir Next LT Pro" w:eastAsiaTheme="minorEastAsia" w:hAnsi="Avenir Next LT Pro" w:cs="Segoe UI"/>
          <w:b/>
          <w:bCs/>
          <w:lang w:eastAsia="en-US"/>
        </w:rPr>
        <w:t>3 a 5 horas de inversión de tiempo para llenar el formato</w:t>
      </w:r>
      <w:r w:rsidRPr="00C13690">
        <w:rPr>
          <w:rFonts w:ascii="Avenir Next LT Pro" w:eastAsiaTheme="minorEastAsia" w:hAnsi="Avenir Next LT Pro" w:cs="Segoe UI"/>
          <w:lang w:eastAsia="en-US"/>
        </w:rPr>
        <w:t xml:space="preserve">; cuando en el aplicativo anterior se destinaba aproximadamente 1 hora. </w:t>
      </w:r>
    </w:p>
    <w:p w14:paraId="792C3A1B" w14:textId="77777777" w:rsidR="001D4D3A" w:rsidRPr="00C13690" w:rsidRDefault="001D4D3A" w:rsidP="001D4D3A">
      <w:pPr>
        <w:pStyle w:val="NormalWeb"/>
        <w:numPr>
          <w:ilvl w:val="0"/>
          <w:numId w:val="33"/>
        </w:numPr>
        <w:jc w:val="both"/>
        <w:rPr>
          <w:rFonts w:ascii="Avenir Next LT Pro" w:eastAsiaTheme="minorEastAsia" w:hAnsi="Avenir Next LT Pro" w:cs="Segoe UI"/>
          <w:lang w:eastAsia="en-US"/>
        </w:rPr>
      </w:pPr>
      <w:r w:rsidRPr="00C13690">
        <w:rPr>
          <w:rFonts w:ascii="Avenir Next LT Pro" w:eastAsiaTheme="minorEastAsia" w:hAnsi="Avenir Next LT Pro" w:cs="Segoe UI"/>
          <w:lang w:eastAsia="en-US"/>
        </w:rPr>
        <w:t xml:space="preserve">El llenado en automático del dato de las </w:t>
      </w:r>
      <w:r w:rsidRPr="00C13690">
        <w:rPr>
          <w:rFonts w:ascii="Avenir Next LT Pro" w:eastAsiaTheme="minorEastAsia" w:hAnsi="Avenir Next LT Pro" w:cs="Segoe UI"/>
          <w:b/>
          <w:bCs/>
          <w:lang w:eastAsia="en-US"/>
        </w:rPr>
        <w:t>pérdidas fiscales se ven reflejados incorrectamente,</w:t>
      </w:r>
      <w:r w:rsidRPr="00C13690">
        <w:rPr>
          <w:rFonts w:ascii="Avenir Next LT Pro" w:eastAsiaTheme="minorEastAsia" w:hAnsi="Avenir Next LT Pro" w:cs="Segoe UI"/>
          <w:lang w:eastAsia="en-US"/>
        </w:rPr>
        <w:t xml:space="preserve"> ya que no coinciden con los datos declarados en ejercicios anteriores, impidiendo el derecho de amortizarlas de manera correcta. No se consideran las características de los contribuyentes, generando confusión en cuanto a diversos conceptos para sus partidas en conciliación que no necesariamente están contemplados en el aplicativo. </w:t>
      </w:r>
    </w:p>
    <w:p w14:paraId="30BE1BD7" w14:textId="2F73FC25" w:rsidR="001D4D3A" w:rsidRPr="00C13690" w:rsidRDefault="001D4D3A" w:rsidP="001D4D3A">
      <w:pPr>
        <w:pStyle w:val="NormalWeb"/>
        <w:numPr>
          <w:ilvl w:val="0"/>
          <w:numId w:val="33"/>
        </w:numPr>
        <w:jc w:val="both"/>
        <w:rPr>
          <w:rFonts w:ascii="Avenir Next LT Pro" w:eastAsiaTheme="minorEastAsia" w:hAnsi="Avenir Next LT Pro" w:cs="Segoe UI"/>
          <w:lang w:eastAsia="en-US"/>
        </w:rPr>
      </w:pPr>
      <w:r w:rsidRPr="00C13690">
        <w:rPr>
          <w:rFonts w:ascii="Avenir Next LT Pro" w:eastAsiaTheme="minorEastAsia" w:hAnsi="Avenir Next LT Pro" w:cs="Segoe UI"/>
          <w:b/>
          <w:bCs/>
          <w:lang w:eastAsia="en-US"/>
        </w:rPr>
        <w:t>No se permite descargar la visualización previa</w:t>
      </w:r>
      <w:r w:rsidRPr="00C13690">
        <w:rPr>
          <w:rFonts w:ascii="Avenir Next LT Pro" w:eastAsiaTheme="minorEastAsia" w:hAnsi="Avenir Next LT Pro" w:cs="Segoe UI"/>
          <w:lang w:eastAsia="en-US"/>
        </w:rPr>
        <w:t xml:space="preserve"> de los estados financieros </w:t>
      </w:r>
      <w:r w:rsidR="002C08F9">
        <w:rPr>
          <w:rFonts w:ascii="Avenir Next LT Pro" w:eastAsiaTheme="minorEastAsia" w:hAnsi="Avenir Next LT Pro" w:cs="Segoe UI"/>
          <w:lang w:eastAsia="en-US"/>
        </w:rPr>
        <w:t>a</w:t>
      </w:r>
      <w:r w:rsidRPr="00C13690">
        <w:rPr>
          <w:rFonts w:ascii="Avenir Next LT Pro" w:eastAsiaTheme="minorEastAsia" w:hAnsi="Avenir Next LT Pro" w:cs="Segoe UI"/>
          <w:lang w:eastAsia="en-US"/>
        </w:rPr>
        <w:t xml:space="preserve"> efectos de agilizar la revisión para su envío.</w:t>
      </w:r>
    </w:p>
    <w:p w14:paraId="083ECEAA" w14:textId="77777777" w:rsidR="001D4D3A" w:rsidRPr="00C13690" w:rsidRDefault="001D4D3A" w:rsidP="001D4D3A">
      <w:pPr>
        <w:jc w:val="both"/>
        <w:rPr>
          <w:rFonts w:ascii="Avenir Next LT Pro" w:hAnsi="Avenir Next LT Pro" w:cs="Segoe UI"/>
        </w:rPr>
      </w:pPr>
      <w:r w:rsidRPr="00C13690">
        <w:rPr>
          <w:rFonts w:ascii="Avenir Next LT Pro" w:hAnsi="Avenir Next LT Pro" w:cstheme="minorHAnsi"/>
          <w:lang w:val="es-MX"/>
        </w:rPr>
        <w:t xml:space="preserve">Dentro de las </w:t>
      </w:r>
      <w:r w:rsidRPr="00C13690">
        <w:rPr>
          <w:rFonts w:ascii="Avenir Next LT Pro" w:hAnsi="Avenir Next LT Pro" w:cs="Segoe UI"/>
          <w:b/>
          <w:bCs/>
        </w:rPr>
        <w:t>consecuencias</w:t>
      </w:r>
      <w:r w:rsidRPr="00C13690">
        <w:rPr>
          <w:rFonts w:ascii="Avenir Next LT Pro" w:hAnsi="Avenir Next LT Pro" w:cs="Segoe UI"/>
        </w:rPr>
        <w:t xml:space="preserve"> que se vislumbran tenemos lo siguiente: </w:t>
      </w:r>
    </w:p>
    <w:p w14:paraId="6C8B1524" w14:textId="77777777" w:rsidR="001D4D3A" w:rsidRPr="00C13690" w:rsidRDefault="001D4D3A" w:rsidP="001D4D3A">
      <w:pPr>
        <w:pStyle w:val="Prrafodelista"/>
        <w:numPr>
          <w:ilvl w:val="0"/>
          <w:numId w:val="34"/>
        </w:numPr>
        <w:ind w:left="993"/>
        <w:jc w:val="both"/>
        <w:rPr>
          <w:rFonts w:ascii="Avenir Next LT Pro" w:hAnsi="Avenir Next LT Pro" w:cs="Segoe UI"/>
        </w:rPr>
      </w:pPr>
      <w:r w:rsidRPr="00C13690">
        <w:rPr>
          <w:rFonts w:ascii="Avenir Next LT Pro" w:hAnsi="Avenir Next LT Pro" w:cs="Segoe UI"/>
        </w:rPr>
        <w:t xml:space="preserve">Existen validaciones en las que posiblemente </w:t>
      </w:r>
      <w:r w:rsidRPr="00C13690">
        <w:rPr>
          <w:rFonts w:ascii="Avenir Next LT Pro" w:hAnsi="Avenir Next LT Pro" w:cs="Segoe UI"/>
          <w:b/>
          <w:bCs/>
        </w:rPr>
        <w:t>no dé tiempo</w:t>
      </w:r>
      <w:r w:rsidRPr="00C13690">
        <w:rPr>
          <w:rFonts w:ascii="Avenir Next LT Pro" w:hAnsi="Avenir Next LT Pro" w:cs="Segoe UI"/>
        </w:rPr>
        <w:t xml:space="preserve"> para realizar las correcciones necesarias en declaraciones mensuales y que se reflejen en la declaración del ejercicio. </w:t>
      </w:r>
    </w:p>
    <w:p w14:paraId="2EB6E790" w14:textId="77777777" w:rsidR="001D4D3A" w:rsidRPr="00C13690" w:rsidRDefault="001D4D3A" w:rsidP="001D4D3A">
      <w:pPr>
        <w:pStyle w:val="Prrafodelista"/>
        <w:numPr>
          <w:ilvl w:val="0"/>
          <w:numId w:val="34"/>
        </w:numPr>
        <w:ind w:left="993"/>
        <w:jc w:val="both"/>
        <w:rPr>
          <w:rFonts w:ascii="Avenir Next LT Pro" w:hAnsi="Avenir Next LT Pro" w:cs="Segoe UI"/>
        </w:rPr>
      </w:pPr>
      <w:r w:rsidRPr="00C13690">
        <w:rPr>
          <w:rFonts w:ascii="Avenir Next LT Pro" w:hAnsi="Avenir Next LT Pro" w:cs="Segoe UI"/>
        </w:rPr>
        <w:t xml:space="preserve">No se cumpliría con lo señalado en la exposición de motivos que dio origen al RESICO de personas morales, donde se buscaba la simplificación en la presentación de declaraciones mensuales y anuales. </w:t>
      </w:r>
    </w:p>
    <w:p w14:paraId="39DE3EED" w14:textId="77777777" w:rsidR="001D4D3A" w:rsidRPr="00C13690" w:rsidRDefault="001D4D3A" w:rsidP="001D4D3A">
      <w:pPr>
        <w:pStyle w:val="Prrafodelista"/>
        <w:numPr>
          <w:ilvl w:val="0"/>
          <w:numId w:val="34"/>
        </w:numPr>
        <w:ind w:left="993"/>
        <w:jc w:val="both"/>
        <w:rPr>
          <w:rFonts w:ascii="Avenir Next LT Pro" w:hAnsi="Avenir Next LT Pro" w:cs="Segoe UI"/>
        </w:rPr>
      </w:pPr>
      <w:r w:rsidRPr="00C13690">
        <w:rPr>
          <w:rFonts w:ascii="Avenir Next LT Pro" w:hAnsi="Avenir Next LT Pro" w:cs="Segoe UI"/>
        </w:rPr>
        <w:t xml:space="preserve">Es posible que algunas manifestaciones de información por parte de los contribuyentes al tratar de realizar el llenado de su declaración anual puedan ser malinterpretadas por parte de la autoridad y se consideren errores que lleven a la comisión de infracciones. </w:t>
      </w:r>
    </w:p>
    <w:p w14:paraId="1E20EC1B" w14:textId="77777777" w:rsidR="001D4D3A" w:rsidRPr="00C13690" w:rsidRDefault="001D4D3A" w:rsidP="001D4D3A">
      <w:pPr>
        <w:pStyle w:val="Prrafodelista"/>
        <w:numPr>
          <w:ilvl w:val="0"/>
          <w:numId w:val="34"/>
        </w:numPr>
        <w:ind w:left="993"/>
        <w:jc w:val="both"/>
        <w:rPr>
          <w:rFonts w:ascii="Avenir Next LT Pro" w:hAnsi="Avenir Next LT Pro" w:cs="Segoe UI"/>
        </w:rPr>
      </w:pPr>
      <w:r w:rsidRPr="00C13690">
        <w:rPr>
          <w:rFonts w:ascii="Avenir Next LT Pro" w:hAnsi="Avenir Next LT Pro" w:cs="Segoe UI"/>
          <w:b/>
          <w:bCs/>
        </w:rPr>
        <w:t>Mayor inversión de tiempos</w:t>
      </w:r>
      <w:r w:rsidRPr="00C13690">
        <w:rPr>
          <w:rFonts w:ascii="Avenir Next LT Pro" w:hAnsi="Avenir Next LT Pro" w:cs="Segoe UI"/>
        </w:rPr>
        <w:t xml:space="preserve"> para llevar a cabo la captura y revisión del correcto llenado de la declaración. </w:t>
      </w:r>
    </w:p>
    <w:p w14:paraId="700E91C3" w14:textId="77777777" w:rsidR="001D4D3A" w:rsidRPr="00C13690" w:rsidRDefault="001D4D3A" w:rsidP="001D4D3A">
      <w:pPr>
        <w:spacing w:before="120" w:after="120"/>
        <w:jc w:val="both"/>
        <w:rPr>
          <w:rFonts w:ascii="Avenir Next LT Pro" w:hAnsi="Avenir Next LT Pro" w:cstheme="minorHAnsi"/>
          <w:b/>
          <w:bCs/>
          <w:lang w:val="es-MX"/>
        </w:rPr>
      </w:pPr>
      <w:r w:rsidRPr="00C13690">
        <w:rPr>
          <w:rFonts w:ascii="Avenir Next LT Pro" w:hAnsi="Avenir Next LT Pro" w:cstheme="minorHAnsi"/>
          <w:b/>
          <w:bCs/>
          <w:lang w:val="es-MX"/>
        </w:rPr>
        <w:t xml:space="preserve">Escrito del Instituto Mexicano de Contadores Públicos ante el </w:t>
      </w:r>
      <w:proofErr w:type="gramStart"/>
      <w:r w:rsidRPr="00C13690">
        <w:rPr>
          <w:rFonts w:ascii="Avenir Next LT Pro" w:hAnsi="Avenir Next LT Pro" w:cstheme="minorHAnsi"/>
          <w:b/>
          <w:bCs/>
          <w:lang w:val="es-MX"/>
        </w:rPr>
        <w:t>Jefe</w:t>
      </w:r>
      <w:proofErr w:type="gramEnd"/>
      <w:r w:rsidRPr="00C13690">
        <w:rPr>
          <w:rFonts w:ascii="Avenir Next LT Pro" w:hAnsi="Avenir Next LT Pro" w:cstheme="minorHAnsi"/>
          <w:b/>
          <w:bCs/>
          <w:lang w:val="es-MX"/>
        </w:rPr>
        <w:t xml:space="preserve"> del SAT</w:t>
      </w:r>
    </w:p>
    <w:p w14:paraId="79FACA64" w14:textId="77777777" w:rsidR="001D4D3A" w:rsidRPr="00C13690" w:rsidRDefault="001D4D3A" w:rsidP="001D4D3A">
      <w:pPr>
        <w:spacing w:before="120" w:after="120"/>
        <w:jc w:val="both"/>
        <w:rPr>
          <w:rFonts w:ascii="Avenir Next LT Pro" w:hAnsi="Avenir Next LT Pro" w:cstheme="minorHAnsi"/>
          <w:lang w:val="es-MX"/>
        </w:rPr>
      </w:pPr>
      <w:r w:rsidRPr="00C13690">
        <w:rPr>
          <w:rFonts w:ascii="Avenir Next LT Pro" w:hAnsi="Avenir Next LT Pro" w:cstheme="minorHAnsi"/>
          <w:lang w:val="es-MX"/>
        </w:rPr>
        <w:t xml:space="preserve">Al respecto, en nuestro carácter de la Federación más importante de la profesión contable y en conjunto con nuestros 60 colegios federados en todo el país, </w:t>
      </w:r>
      <w:r w:rsidRPr="00C13690">
        <w:rPr>
          <w:rFonts w:ascii="Avenir Next LT Pro" w:hAnsi="Avenir Next LT Pro" w:cstheme="minorHAnsi"/>
          <w:b/>
          <w:bCs/>
          <w:lang w:val="es-MX"/>
        </w:rPr>
        <w:t>presentamos un escrito a la autoridad fiscal el día 21 de marzo de 2023</w:t>
      </w:r>
      <w:r w:rsidRPr="00C13690">
        <w:rPr>
          <w:rFonts w:ascii="Avenir Next LT Pro" w:hAnsi="Avenir Next LT Pro" w:cstheme="minorHAnsi"/>
          <w:lang w:val="es-MX"/>
        </w:rPr>
        <w:t xml:space="preserve">, en el que hicimos de conocimiento al </w:t>
      </w:r>
      <w:proofErr w:type="gramStart"/>
      <w:r w:rsidRPr="00C13690">
        <w:rPr>
          <w:rFonts w:ascii="Avenir Next LT Pro" w:hAnsi="Avenir Next LT Pro" w:cstheme="minorHAnsi"/>
          <w:lang w:val="es-MX"/>
        </w:rPr>
        <w:t>Jefe</w:t>
      </w:r>
      <w:proofErr w:type="gramEnd"/>
      <w:r w:rsidRPr="00C13690">
        <w:rPr>
          <w:rFonts w:ascii="Avenir Next LT Pro" w:hAnsi="Avenir Next LT Pro" w:cstheme="minorHAnsi"/>
          <w:lang w:val="es-MX"/>
        </w:rPr>
        <w:t xml:space="preserve"> del Servicio de Administración Tributaria (SAT) lo comentado en párrafos anteriores y </w:t>
      </w:r>
      <w:r w:rsidRPr="0082282E">
        <w:rPr>
          <w:rFonts w:ascii="Avenir Next LT Pro" w:hAnsi="Avenir Next LT Pro" w:cstheme="minorHAnsi"/>
          <w:lang w:val="es-MX"/>
        </w:rPr>
        <w:t xml:space="preserve">en el que solicitamos tenga a bien considerar otorgar una prórroga para el cumplimiento de esta obligación.  </w:t>
      </w:r>
      <w:r w:rsidRPr="00C13690">
        <w:rPr>
          <w:rFonts w:ascii="Avenir Next LT Pro" w:hAnsi="Avenir Next LT Pro" w:cstheme="minorHAnsi"/>
          <w:lang w:val="es-MX"/>
        </w:rPr>
        <w:t xml:space="preserve"> </w:t>
      </w:r>
    </w:p>
    <w:p w14:paraId="3D6568AC" w14:textId="40E8B4D0" w:rsidR="001D4D3A" w:rsidRPr="00701B25" w:rsidRDefault="001D4D3A" w:rsidP="001D4D3A">
      <w:pPr>
        <w:pStyle w:val="Sinespaciado"/>
        <w:spacing w:before="240" w:after="120"/>
        <w:jc w:val="both"/>
        <w:rPr>
          <w:rStyle w:val="Hipervnculo"/>
          <w:rFonts w:ascii="Avenir Next LT Pro" w:hAnsi="Avenir Next LT Pro"/>
          <w:b/>
          <w:bCs/>
          <w:color w:val="auto"/>
          <w:sz w:val="24"/>
          <w:szCs w:val="24"/>
          <w:u w:val="none"/>
        </w:rPr>
      </w:pPr>
      <w:r w:rsidRPr="00701B25">
        <w:rPr>
          <w:rStyle w:val="Hipervnculo"/>
          <w:rFonts w:ascii="Avenir Next LT Pro" w:hAnsi="Avenir Next LT Pro"/>
          <w:b/>
          <w:bCs/>
          <w:color w:val="auto"/>
          <w:sz w:val="24"/>
          <w:szCs w:val="24"/>
          <w:u w:val="none"/>
        </w:rPr>
        <w:t>Dictamen fiscal</w:t>
      </w:r>
    </w:p>
    <w:p w14:paraId="766D6AA5" w14:textId="42F5FCE7" w:rsidR="001D4D3A" w:rsidRPr="001A48C6" w:rsidRDefault="001D4D3A" w:rsidP="001D4D3A">
      <w:pPr>
        <w:pStyle w:val="Sinespaciado"/>
        <w:spacing w:before="120" w:after="120"/>
        <w:jc w:val="both"/>
        <w:rPr>
          <w:rStyle w:val="Hipervnculo"/>
          <w:rFonts w:ascii="Avenir Next LT Pro" w:hAnsi="Avenir Next LT Pro"/>
          <w:color w:val="auto"/>
          <w:spacing w:val="-4"/>
          <w:sz w:val="24"/>
          <w:szCs w:val="24"/>
          <w:u w:val="none"/>
        </w:rPr>
      </w:pPr>
      <w:r w:rsidRPr="006B76A3">
        <w:rPr>
          <w:rStyle w:val="Hipervnculo"/>
          <w:rFonts w:ascii="Avenir Next LT Pro" w:hAnsi="Avenir Next LT Pro"/>
          <w:color w:val="000000"/>
          <w:spacing w:val="-4"/>
          <w:sz w:val="24"/>
          <w:szCs w:val="24"/>
          <w:u w:val="none"/>
        </w:rPr>
        <w:t>Como consecuencia d</w:t>
      </w:r>
      <w:r w:rsidR="003C6D3B" w:rsidRPr="006B76A3">
        <w:rPr>
          <w:rStyle w:val="Hipervnculo"/>
          <w:rFonts w:ascii="Avenir Next LT Pro" w:hAnsi="Avenir Next LT Pro"/>
          <w:color w:val="000000"/>
          <w:spacing w:val="-4"/>
          <w:sz w:val="24"/>
          <w:szCs w:val="24"/>
          <w:u w:val="none"/>
        </w:rPr>
        <w:t xml:space="preserve">e la problemática </w:t>
      </w:r>
      <w:r w:rsidR="00794291" w:rsidRPr="006B76A3">
        <w:rPr>
          <w:rStyle w:val="Hipervnculo"/>
          <w:rFonts w:ascii="Avenir Next LT Pro" w:hAnsi="Avenir Next LT Pro"/>
          <w:color w:val="000000"/>
          <w:spacing w:val="-4"/>
          <w:sz w:val="24"/>
          <w:szCs w:val="24"/>
          <w:u w:val="none"/>
        </w:rPr>
        <w:t>antes</w:t>
      </w:r>
      <w:r w:rsidR="00574702" w:rsidRPr="006B76A3">
        <w:rPr>
          <w:rStyle w:val="Hipervnculo"/>
          <w:rFonts w:ascii="Avenir Next LT Pro" w:hAnsi="Avenir Next LT Pro"/>
          <w:color w:val="000000"/>
          <w:spacing w:val="-4"/>
          <w:sz w:val="24"/>
          <w:szCs w:val="24"/>
          <w:u w:val="none"/>
        </w:rPr>
        <w:t xml:space="preserve"> </w:t>
      </w:r>
      <w:r w:rsidR="003C6D3B" w:rsidRPr="006B76A3">
        <w:rPr>
          <w:rStyle w:val="Hipervnculo"/>
          <w:rFonts w:ascii="Avenir Next LT Pro" w:hAnsi="Avenir Next LT Pro"/>
          <w:color w:val="000000"/>
          <w:spacing w:val="-4"/>
          <w:sz w:val="24"/>
          <w:szCs w:val="24"/>
          <w:u w:val="none"/>
        </w:rPr>
        <w:t>mencionada</w:t>
      </w:r>
      <w:r w:rsidR="00574702" w:rsidRPr="006B76A3">
        <w:rPr>
          <w:rStyle w:val="Hipervnculo"/>
          <w:rFonts w:ascii="Avenir Next LT Pro" w:hAnsi="Avenir Next LT Pro"/>
          <w:color w:val="000000"/>
          <w:spacing w:val="-4"/>
          <w:sz w:val="24"/>
          <w:szCs w:val="24"/>
          <w:u w:val="none"/>
        </w:rPr>
        <w:t xml:space="preserve"> </w:t>
      </w:r>
      <w:r w:rsidRPr="006B76A3">
        <w:rPr>
          <w:rStyle w:val="Hipervnculo"/>
          <w:rFonts w:ascii="Avenir Next LT Pro" w:hAnsi="Avenir Next LT Pro"/>
          <w:color w:val="000000"/>
          <w:spacing w:val="-4"/>
          <w:sz w:val="24"/>
          <w:szCs w:val="24"/>
          <w:u w:val="none"/>
        </w:rPr>
        <w:t>y en vista de que el próximo 15 de mayo vence el plazo para presentar el dictamen fiscal, consideramos este plazo insuficiente, ya que en años anteriores la presentación de dicho dictamen vencía el 15 de</w:t>
      </w:r>
      <w:r w:rsidRPr="001A48C6">
        <w:rPr>
          <w:rStyle w:val="Hipervnculo"/>
          <w:rFonts w:ascii="Avenir Next LT Pro" w:hAnsi="Avenir Next LT Pro"/>
          <w:color w:val="000000"/>
          <w:spacing w:val="-4"/>
          <w:sz w:val="24"/>
          <w:szCs w:val="24"/>
          <w:u w:val="none"/>
        </w:rPr>
        <w:t xml:space="preserve"> julio, por facilidad administrativa. Lo anterior toda vez que para este añ</w:t>
      </w:r>
      <w:r w:rsidRPr="001A48C6">
        <w:rPr>
          <w:rStyle w:val="Hipervnculo"/>
          <w:rFonts w:ascii="Avenir Next LT Pro" w:hAnsi="Avenir Next LT Pro"/>
          <w:color w:val="auto"/>
          <w:spacing w:val="-4"/>
          <w:sz w:val="24"/>
          <w:szCs w:val="24"/>
          <w:u w:val="none"/>
        </w:rPr>
        <w:t xml:space="preserve">o entran en vigor </w:t>
      </w:r>
      <w:r w:rsidRPr="001A48C6">
        <w:rPr>
          <w:rStyle w:val="Hipervnculo"/>
          <w:rFonts w:ascii="Avenir Next LT Pro" w:hAnsi="Avenir Next LT Pro"/>
          <w:color w:val="auto"/>
          <w:spacing w:val="-4"/>
          <w:sz w:val="24"/>
          <w:szCs w:val="24"/>
          <w:u w:val="none"/>
        </w:rPr>
        <w:lastRenderedPageBreak/>
        <w:t>varios cambios (factura 4.0 y carta porte) respecto a años anteriores y a la fecha aún no se ha liberado el aplicativo.</w:t>
      </w:r>
    </w:p>
    <w:p w14:paraId="5EA125D0" w14:textId="77777777" w:rsidR="001D4D3A" w:rsidRDefault="001D4D3A" w:rsidP="001D4D3A">
      <w:pPr>
        <w:pStyle w:val="Sinespaciado"/>
        <w:spacing w:before="120" w:after="120"/>
        <w:jc w:val="both"/>
        <w:rPr>
          <w:rStyle w:val="Hipervnculo"/>
          <w:rFonts w:ascii="Avenir Next LT Pro" w:hAnsi="Avenir Next LT Pro"/>
          <w:color w:val="000000"/>
          <w:sz w:val="24"/>
          <w:szCs w:val="24"/>
          <w:u w:val="none"/>
        </w:rPr>
      </w:pPr>
      <w:r>
        <w:rPr>
          <w:rStyle w:val="Hipervnculo"/>
          <w:rFonts w:ascii="Avenir Next LT Pro" w:hAnsi="Avenir Next LT Pro"/>
          <w:color w:val="000000"/>
          <w:sz w:val="24"/>
          <w:szCs w:val="24"/>
          <w:u w:val="none"/>
        </w:rPr>
        <w:t>Recordemos que este dictamen será obligatorio para los Grandes Contribuyentes (12 mil) más aquellos que opten por presentarlo de manera voluntaria.</w:t>
      </w:r>
    </w:p>
    <w:p w14:paraId="67348FBA" w14:textId="77777777" w:rsidR="001D4D3A" w:rsidRPr="00701B25" w:rsidRDefault="001D4D3A" w:rsidP="001D4D3A">
      <w:pPr>
        <w:spacing w:before="240" w:after="120"/>
        <w:jc w:val="both"/>
        <w:rPr>
          <w:rFonts w:ascii="Avenir Next LT Pro" w:hAnsi="Avenir Next LT Pro"/>
          <w:b/>
          <w:bCs/>
          <w:lang w:val="es-ES"/>
        </w:rPr>
      </w:pPr>
      <w:r w:rsidRPr="00701B25">
        <w:rPr>
          <w:rFonts w:ascii="Avenir Next LT Pro" w:hAnsi="Avenir Next LT Pro"/>
          <w:b/>
          <w:bCs/>
          <w:lang w:val="es-ES"/>
        </w:rPr>
        <w:t>Declaración anual de personas físicas</w:t>
      </w:r>
    </w:p>
    <w:p w14:paraId="667AB360" w14:textId="77777777" w:rsidR="001D4D3A" w:rsidRPr="007405FF" w:rsidRDefault="001D4D3A" w:rsidP="001D4D3A">
      <w:pPr>
        <w:spacing w:before="120" w:after="120"/>
        <w:jc w:val="both"/>
        <w:rPr>
          <w:rFonts w:ascii="Avenir Next LT Pro" w:hAnsi="Avenir Next LT Pro"/>
          <w:spacing w:val="-4"/>
          <w:lang w:val="es-ES"/>
        </w:rPr>
      </w:pPr>
      <w:r w:rsidRPr="007405FF">
        <w:rPr>
          <w:rFonts w:ascii="Avenir Next LT Pro" w:hAnsi="Avenir Next LT Pro"/>
          <w:spacing w:val="-4"/>
          <w:lang w:val="es-ES"/>
        </w:rPr>
        <w:t xml:space="preserve">Una vez concluido el periodo de declaraciones anuales para personas morales, iniciamos inmediatamente con el que corresponde a personas físicas. En este sentido, la semana pasada el SAT liberó, dentro de su página de </w:t>
      </w:r>
      <w:r>
        <w:rPr>
          <w:rFonts w:ascii="Avenir Next LT Pro" w:hAnsi="Avenir Next LT Pro"/>
          <w:spacing w:val="-4"/>
          <w:lang w:val="es-ES"/>
        </w:rPr>
        <w:t>I</w:t>
      </w:r>
      <w:r w:rsidRPr="007405FF">
        <w:rPr>
          <w:rFonts w:ascii="Avenir Next LT Pro" w:hAnsi="Avenir Next LT Pro"/>
          <w:spacing w:val="-4"/>
          <w:lang w:val="es-ES"/>
        </w:rPr>
        <w:t>nternet, el simulador de la declaración anual de personas físicas, por lo que se recomienda a los contribuyentes que inicien con la revisión de la información en el simulador y se preparen para cumplir con esta obligación.</w:t>
      </w:r>
    </w:p>
    <w:p w14:paraId="0C405DCB" w14:textId="77777777" w:rsidR="001D4D3A" w:rsidRPr="00701B25" w:rsidRDefault="001D4D3A" w:rsidP="001D4D3A">
      <w:pPr>
        <w:spacing w:before="240" w:after="120"/>
        <w:jc w:val="center"/>
        <w:rPr>
          <w:rFonts w:ascii="Avenir Next LT Pro" w:hAnsi="Avenir Next LT Pro"/>
          <w:b/>
          <w:bCs/>
          <w:sz w:val="26"/>
          <w:szCs w:val="26"/>
          <w:lang w:val="es-ES"/>
        </w:rPr>
      </w:pPr>
      <w:r w:rsidRPr="00701B25">
        <w:rPr>
          <w:rFonts w:ascii="Avenir Next LT Pro" w:hAnsi="Avenir Next LT Pro"/>
          <w:b/>
          <w:bCs/>
          <w:sz w:val="26"/>
          <w:szCs w:val="26"/>
          <w:lang w:val="es-ES"/>
        </w:rPr>
        <w:t>Avance de implementación del CFDI versión 4.0</w:t>
      </w:r>
    </w:p>
    <w:p w14:paraId="1C5AE826" w14:textId="77777777" w:rsidR="001D4D3A" w:rsidRPr="00E27037" w:rsidRDefault="001D4D3A" w:rsidP="001D4D3A">
      <w:pPr>
        <w:spacing w:before="120" w:after="120"/>
        <w:jc w:val="both"/>
        <w:rPr>
          <w:rFonts w:ascii="Avenir Next LT Pro" w:hAnsi="Avenir Next LT Pro"/>
          <w:lang w:val="es-ES"/>
        </w:rPr>
      </w:pPr>
      <w:r w:rsidRPr="00E27037">
        <w:rPr>
          <w:rFonts w:ascii="Avenir Next LT Pro" w:hAnsi="Avenir Next LT Pro"/>
          <w:lang w:val="es-ES"/>
        </w:rPr>
        <w:t xml:space="preserve">En </w:t>
      </w:r>
      <w:r>
        <w:rPr>
          <w:rFonts w:ascii="Avenir Next LT Pro" w:hAnsi="Avenir Next LT Pro"/>
          <w:lang w:val="es-ES"/>
        </w:rPr>
        <w:t>cuanto a</w:t>
      </w:r>
      <w:r w:rsidRPr="00E27037">
        <w:rPr>
          <w:rFonts w:ascii="Avenir Next LT Pro" w:hAnsi="Avenir Next LT Pro"/>
          <w:lang w:val="es-ES"/>
        </w:rPr>
        <w:t>l avance de la implementación de la factura electrónica en su versión 4.0 y de acuerdo con declaraciones recientes del SAT (2023),</w:t>
      </w:r>
      <w:r w:rsidRPr="00E27037">
        <w:rPr>
          <w:rFonts w:ascii="Avenir Next LT Pro" w:hAnsi="Avenir Next LT Pro"/>
        </w:rPr>
        <w:t xml:space="preserve"> </w:t>
      </w:r>
      <w:r w:rsidRPr="00E27037">
        <w:rPr>
          <w:rFonts w:ascii="Avenir Next LT Pro" w:hAnsi="Avenir Next LT Pro"/>
          <w:lang w:val="es-ES"/>
        </w:rPr>
        <w:t xml:space="preserve">el </w:t>
      </w:r>
      <w:r w:rsidRPr="00E27037">
        <w:rPr>
          <w:rFonts w:ascii="Avenir Next LT Pro" w:hAnsi="Avenir Next LT Pro"/>
          <w:b/>
          <w:bCs/>
          <w:lang w:val="es-ES"/>
        </w:rPr>
        <w:t>50%</w:t>
      </w:r>
      <w:r w:rsidRPr="00E27037">
        <w:rPr>
          <w:rFonts w:ascii="Avenir Next LT Pro" w:hAnsi="Avenir Next LT Pro"/>
          <w:lang w:val="es-ES"/>
        </w:rPr>
        <w:t xml:space="preserve"> de los CFDI que se emiten por parte de los contribuyentes son realizados con esta nueva versión. </w:t>
      </w:r>
      <w:r>
        <w:rPr>
          <w:rFonts w:ascii="Avenir Next LT Pro" w:hAnsi="Avenir Next LT Pro"/>
          <w:lang w:val="es-ES"/>
        </w:rPr>
        <w:t>Según</w:t>
      </w:r>
      <w:r w:rsidRPr="00E27037">
        <w:rPr>
          <w:rFonts w:ascii="Avenir Next LT Pro" w:hAnsi="Avenir Next LT Pro"/>
          <w:lang w:val="es-ES"/>
        </w:rPr>
        <w:t xml:space="preserve"> lo reportado por este Órgano Desconcentrado</w:t>
      </w:r>
      <w:r>
        <w:rPr>
          <w:rFonts w:ascii="Avenir Next LT Pro" w:hAnsi="Avenir Next LT Pro"/>
          <w:lang w:val="es-ES"/>
        </w:rPr>
        <w:t>,</w:t>
      </w:r>
      <w:r w:rsidRPr="00E27037">
        <w:rPr>
          <w:rFonts w:ascii="Avenir Next LT Pro" w:hAnsi="Avenir Next LT Pro"/>
          <w:lang w:val="es-ES"/>
        </w:rPr>
        <w:t xml:space="preserve"> </w:t>
      </w:r>
      <w:r w:rsidRPr="00585A40">
        <w:rPr>
          <w:rFonts w:ascii="Avenir Next LT Pro" w:hAnsi="Avenir Next LT Pro"/>
          <w:b/>
          <w:bCs/>
          <w:lang w:val="es-ES"/>
        </w:rPr>
        <w:t>al cierre de diciembre de 2022</w:t>
      </w:r>
      <w:r w:rsidRPr="00E27037">
        <w:rPr>
          <w:rFonts w:ascii="Avenir Next LT Pro" w:hAnsi="Avenir Next LT Pro"/>
          <w:lang w:val="es-ES"/>
        </w:rPr>
        <w:t xml:space="preserve"> se habían emitido 9 mil 746 millones de comprobantes fiscales, por lo que </w:t>
      </w:r>
      <w:r w:rsidRPr="00585A40">
        <w:rPr>
          <w:rFonts w:ascii="Avenir Next LT Pro" w:hAnsi="Avenir Next LT Pro"/>
          <w:b/>
          <w:bCs/>
          <w:lang w:val="es-ES"/>
        </w:rPr>
        <w:t>cerca de 4 mil 873 millones de facturas ya son versión 4.0.</w:t>
      </w:r>
    </w:p>
    <w:p w14:paraId="6982DE96" w14:textId="77777777" w:rsidR="00AD6E32" w:rsidRPr="006B76A3" w:rsidRDefault="001D4D3A" w:rsidP="001D4D3A">
      <w:pPr>
        <w:spacing w:before="120" w:after="120"/>
        <w:jc w:val="both"/>
        <w:rPr>
          <w:rFonts w:ascii="Avenir Next LT Pro" w:hAnsi="Avenir Next LT Pro" w:cstheme="minorHAnsi"/>
          <w:spacing w:val="-4"/>
          <w:lang w:val="es-ES"/>
        </w:rPr>
      </w:pPr>
      <w:r w:rsidRPr="00AD6E32">
        <w:rPr>
          <w:rFonts w:ascii="Avenir Next LT Pro" w:hAnsi="Avenir Next LT Pro" w:cstheme="minorHAnsi"/>
          <w:spacing w:val="-4"/>
          <w:lang w:val="es-ES"/>
        </w:rPr>
        <w:t xml:space="preserve">Consideremos que ya no habrá más plazo de convivencia y </w:t>
      </w:r>
      <w:r w:rsidRPr="00AD6E32">
        <w:rPr>
          <w:rFonts w:ascii="Avenir Next LT Pro" w:hAnsi="Avenir Next LT Pro" w:cstheme="minorHAnsi"/>
          <w:b/>
          <w:bCs/>
          <w:spacing w:val="-4"/>
          <w:lang w:val="es-ES"/>
        </w:rPr>
        <w:t xml:space="preserve">a partir del 1 de abril de 2023, </w:t>
      </w:r>
      <w:r w:rsidRPr="006B76A3">
        <w:rPr>
          <w:rFonts w:ascii="Avenir Next LT Pro" w:hAnsi="Avenir Next LT Pro" w:cstheme="minorHAnsi"/>
          <w:b/>
          <w:bCs/>
          <w:spacing w:val="-4"/>
          <w:lang w:val="es-ES"/>
        </w:rPr>
        <w:t xml:space="preserve">la única versión vigente </w:t>
      </w:r>
      <w:r w:rsidRPr="006B76A3">
        <w:rPr>
          <w:rFonts w:ascii="Avenir Next LT Pro" w:hAnsi="Avenir Next LT Pro" w:cstheme="minorHAnsi"/>
          <w:spacing w:val="-4"/>
          <w:lang w:val="es-ES"/>
        </w:rPr>
        <w:t>para la emisión de los CFDI en general</w:t>
      </w:r>
      <w:r w:rsidRPr="006B76A3">
        <w:rPr>
          <w:rFonts w:ascii="Avenir Next LT Pro" w:hAnsi="Avenir Next LT Pro" w:cstheme="minorHAnsi"/>
          <w:b/>
          <w:bCs/>
          <w:spacing w:val="-4"/>
          <w:lang w:val="es-ES"/>
        </w:rPr>
        <w:t xml:space="preserve"> será la </w:t>
      </w:r>
      <w:r w:rsidRPr="006B76A3">
        <w:rPr>
          <w:rFonts w:ascii="Avenir Next LT Pro" w:hAnsi="Avenir Next LT Pro" w:cstheme="minorHAnsi"/>
          <w:spacing w:val="-4"/>
          <w:lang w:val="es-ES"/>
        </w:rPr>
        <w:t>versión</w:t>
      </w:r>
      <w:r w:rsidRPr="006B76A3">
        <w:rPr>
          <w:rFonts w:ascii="Avenir Next LT Pro" w:hAnsi="Avenir Next LT Pro" w:cstheme="minorHAnsi"/>
          <w:b/>
          <w:bCs/>
          <w:spacing w:val="-4"/>
          <w:lang w:val="es-ES"/>
        </w:rPr>
        <w:t xml:space="preserve"> 4.0</w:t>
      </w:r>
      <w:r w:rsidRPr="006B76A3">
        <w:rPr>
          <w:rFonts w:ascii="Avenir Next LT Pro" w:hAnsi="Avenir Next LT Pro" w:cstheme="minorHAnsi"/>
          <w:spacing w:val="-4"/>
          <w:lang w:val="es-ES"/>
        </w:rPr>
        <w:t xml:space="preserve">. </w:t>
      </w:r>
    </w:p>
    <w:p w14:paraId="0F9094E8" w14:textId="77777777" w:rsidR="00AD6E32" w:rsidRPr="006B76A3" w:rsidRDefault="00AD6E32" w:rsidP="00AD6E32">
      <w:pPr>
        <w:spacing w:before="120" w:after="120"/>
        <w:jc w:val="both"/>
        <w:rPr>
          <w:rFonts w:ascii="Avenir Next LT Pro" w:hAnsi="Avenir Next LT Pro" w:cstheme="minorHAnsi"/>
          <w:lang w:val="es-ES"/>
        </w:rPr>
      </w:pPr>
      <w:r w:rsidRPr="006B76A3">
        <w:rPr>
          <w:rFonts w:ascii="Avenir Next LT Pro" w:hAnsi="Avenir Next LT Pro" w:cstheme="minorHAnsi"/>
          <w:lang w:val="es-ES"/>
        </w:rPr>
        <w:t xml:space="preserve">Por otro lado, </w:t>
      </w:r>
      <w:r w:rsidRPr="006B76A3">
        <w:rPr>
          <w:rFonts w:ascii="Avenir Next LT Pro" w:hAnsi="Avenir Next LT Pro" w:cstheme="minorHAnsi"/>
          <w:b/>
          <w:bCs/>
          <w:lang w:val="es-ES"/>
        </w:rPr>
        <w:t xml:space="preserve">el CFDI 4.0 para la emisión de los recibos de nómina </w:t>
      </w:r>
      <w:r w:rsidRPr="006B76A3">
        <w:rPr>
          <w:rFonts w:ascii="Avenir Next LT Pro" w:hAnsi="Avenir Next LT Pro" w:cstheme="minorHAnsi"/>
          <w:lang w:val="es-ES"/>
        </w:rPr>
        <w:t>de los trabajadores será la única versión válida a partir del 1 de abril 2023. Por ello,</w:t>
      </w:r>
      <w:r w:rsidRPr="006B76A3">
        <w:rPr>
          <w:rFonts w:ascii="Avenir Next LT Pro" w:hAnsi="Avenir Next LT Pro" w:cstheme="minorHAnsi"/>
          <w:b/>
          <w:bCs/>
          <w:lang w:val="es-ES"/>
        </w:rPr>
        <w:t xml:space="preserve"> el SAT ofrece a los empleadores la facilidad de obtener los datos fiscales de sus trabajadores, por única ocasión, a través de su portal</w:t>
      </w:r>
      <w:r w:rsidRPr="006B76A3">
        <w:rPr>
          <w:rFonts w:ascii="Avenir Next LT Pro" w:hAnsi="Avenir Next LT Pro" w:cstheme="minorHAnsi"/>
          <w:lang w:val="es-ES"/>
        </w:rPr>
        <w:t xml:space="preserve">. Sobre este punto les informo que, hemos estado constantemente en coadyuvancia con el SAT, compartiendo gráficos sobre este procedimiento y creando infografías propias con información relevante en temas como la constancia de situación fiscal. </w:t>
      </w:r>
    </w:p>
    <w:p w14:paraId="38AD30BE" w14:textId="77777777" w:rsidR="00AD6E32" w:rsidRPr="00E42D96" w:rsidRDefault="00AD6E32" w:rsidP="00AD6E32">
      <w:pPr>
        <w:spacing w:before="120" w:after="120"/>
        <w:jc w:val="both"/>
        <w:rPr>
          <w:rFonts w:ascii="Avenir Next LT Pro" w:hAnsi="Avenir Next LT Pro" w:cstheme="minorHAnsi"/>
          <w:lang w:val="es-ES"/>
        </w:rPr>
      </w:pPr>
      <w:r w:rsidRPr="006B76A3">
        <w:rPr>
          <w:rFonts w:ascii="Avenir Next LT Pro" w:hAnsi="Avenir Next LT Pro" w:cstheme="minorHAnsi"/>
          <w:lang w:val="es-ES"/>
        </w:rPr>
        <w:t xml:space="preserve">En torno a este documento y la constante solicitud que existe del mismo por parte de los emisores de facturas electrónicas, me permito aclarar que </w:t>
      </w:r>
      <w:r w:rsidRPr="006B76A3">
        <w:rPr>
          <w:rFonts w:ascii="Avenir Next LT Pro" w:hAnsi="Avenir Next LT Pro" w:cstheme="minorHAnsi"/>
          <w:b/>
          <w:bCs/>
          <w:lang w:val="es-ES"/>
        </w:rPr>
        <w:t>es un “mito” que se deba proporcionar la Constancia de Situación Fiscal para que se pueda emitir una factura electrónica en la versión 4.0</w:t>
      </w:r>
      <w:r w:rsidRPr="006B76A3">
        <w:rPr>
          <w:rFonts w:ascii="Avenir Next LT Pro" w:hAnsi="Avenir Next LT Pro" w:cstheme="minorHAnsi"/>
          <w:lang w:val="es-ES"/>
        </w:rPr>
        <w:t xml:space="preserve"> por las compras que se realizan. La realidad es </w:t>
      </w:r>
      <w:proofErr w:type="gramStart"/>
      <w:r w:rsidRPr="006B76A3">
        <w:rPr>
          <w:rFonts w:ascii="Avenir Next LT Pro" w:hAnsi="Avenir Next LT Pro" w:cstheme="minorHAnsi"/>
          <w:lang w:val="es-ES"/>
        </w:rPr>
        <w:t>que</w:t>
      </w:r>
      <w:proofErr w:type="gramEnd"/>
      <w:r w:rsidRPr="006B76A3">
        <w:rPr>
          <w:rFonts w:ascii="Avenir Next LT Pro" w:hAnsi="Avenir Next LT Pro" w:cstheme="minorHAnsi"/>
          <w:lang w:val="es-ES"/>
        </w:rPr>
        <w:t xml:space="preserve"> si conocemos nuestros datos fiscales, tal y como se encuentran registrados en ese documento, basta con proporcionarlos a quien emitirá el CFDI.</w:t>
      </w:r>
      <w:r w:rsidRPr="00E42D96">
        <w:rPr>
          <w:rFonts w:ascii="Avenir Next LT Pro" w:hAnsi="Avenir Next LT Pro" w:cstheme="minorHAnsi"/>
          <w:lang w:val="es-ES"/>
        </w:rPr>
        <w:t xml:space="preserve">  </w:t>
      </w:r>
    </w:p>
    <w:p w14:paraId="4EBF6D06" w14:textId="5D1124F7" w:rsidR="00AD6E32" w:rsidRPr="00AD6E32" w:rsidRDefault="00AD6E32" w:rsidP="001D4D3A">
      <w:pPr>
        <w:spacing w:before="120" w:after="120"/>
        <w:jc w:val="both"/>
        <w:rPr>
          <w:rFonts w:ascii="Avenir Next LT Pro" w:hAnsi="Avenir Next LT Pro" w:cstheme="minorHAnsi"/>
          <w:b/>
          <w:bCs/>
          <w:lang w:val="es-ES"/>
        </w:rPr>
      </w:pPr>
      <w:r w:rsidRPr="00AD6E32">
        <w:rPr>
          <w:rFonts w:ascii="Avenir Next LT Pro" w:hAnsi="Avenir Next LT Pro" w:cstheme="minorHAnsi"/>
          <w:b/>
          <w:bCs/>
          <w:lang w:val="es-ES"/>
        </w:rPr>
        <w:t>Complemento Carta porte</w:t>
      </w:r>
    </w:p>
    <w:p w14:paraId="6688C482" w14:textId="5CA205A5" w:rsidR="001D4D3A" w:rsidRPr="00E27037" w:rsidRDefault="001D4D3A" w:rsidP="001D4D3A">
      <w:pPr>
        <w:spacing w:before="120" w:after="120"/>
        <w:jc w:val="both"/>
        <w:rPr>
          <w:rFonts w:ascii="Avenir Next LT Pro" w:hAnsi="Avenir Next LT Pro" w:cstheme="minorHAnsi"/>
          <w:lang w:val="es-ES"/>
        </w:rPr>
      </w:pPr>
      <w:r w:rsidRPr="00AD6E32">
        <w:rPr>
          <w:rFonts w:ascii="Avenir Next LT Pro" w:hAnsi="Avenir Next LT Pro" w:cstheme="minorHAnsi"/>
          <w:lang w:val="es-ES"/>
        </w:rPr>
        <w:t xml:space="preserve">Por lo que respecta al comprobante con </w:t>
      </w:r>
      <w:r w:rsidRPr="003E378A">
        <w:rPr>
          <w:rFonts w:ascii="Avenir Next LT Pro" w:hAnsi="Avenir Next LT Pro" w:cstheme="minorHAnsi"/>
          <w:b/>
          <w:bCs/>
          <w:lang w:val="es-ES"/>
        </w:rPr>
        <w:t>complemento de Carta Porte</w:t>
      </w:r>
      <w:r w:rsidRPr="001603CE">
        <w:rPr>
          <w:rFonts w:ascii="Avenir Next LT Pro" w:hAnsi="Avenir Next LT Pro" w:cstheme="minorHAnsi"/>
          <w:lang w:val="es-ES"/>
        </w:rPr>
        <w:t>, tener muy en claro que las facilidades se han centrado en la no imposición de sanciones por no contar con todos los requisitos relativos a este complemento, pero no así de una facilidad para no emitirlos</w:t>
      </w:r>
      <w:r>
        <w:rPr>
          <w:rFonts w:ascii="Avenir Next LT Pro" w:hAnsi="Avenir Next LT Pro" w:cstheme="minorHAnsi"/>
          <w:lang w:val="es-ES"/>
        </w:rPr>
        <w:t>. En tal razón,</w:t>
      </w:r>
      <w:r w:rsidRPr="001603CE">
        <w:rPr>
          <w:rFonts w:ascii="Avenir Next LT Pro" w:hAnsi="Avenir Next LT Pro" w:cstheme="minorHAnsi"/>
          <w:lang w:val="es-ES"/>
        </w:rPr>
        <w:t xml:space="preserve"> a partir del 1 de agosto de 2023 se debe poner especial atención a cada detalle y requisito</w:t>
      </w:r>
      <w:r>
        <w:rPr>
          <w:rFonts w:ascii="Avenir Next LT Pro" w:hAnsi="Avenir Next LT Pro" w:cstheme="minorHAnsi"/>
          <w:lang w:val="es-ES"/>
        </w:rPr>
        <w:t>,</w:t>
      </w:r>
      <w:r w:rsidRPr="001603CE">
        <w:rPr>
          <w:rFonts w:ascii="Avenir Next LT Pro" w:hAnsi="Avenir Next LT Pro" w:cstheme="minorHAnsi"/>
          <w:lang w:val="es-ES"/>
        </w:rPr>
        <w:t xml:space="preserve"> a fin de evitar sanciones por parte de la autoridad.</w:t>
      </w:r>
      <w:r w:rsidRPr="00E27037">
        <w:rPr>
          <w:rFonts w:ascii="Avenir Next LT Pro" w:hAnsi="Avenir Next LT Pro" w:cstheme="minorHAnsi"/>
          <w:lang w:val="es-ES"/>
        </w:rPr>
        <w:t xml:space="preserve"> </w:t>
      </w:r>
    </w:p>
    <w:p w14:paraId="27E78CBD" w14:textId="50F122E7" w:rsidR="001D4D3A" w:rsidRPr="006B76A3" w:rsidRDefault="001D4D3A" w:rsidP="001D4D3A">
      <w:pPr>
        <w:spacing w:before="120" w:after="120"/>
        <w:jc w:val="both"/>
        <w:rPr>
          <w:rFonts w:ascii="Avenir Next LT Pro" w:hAnsi="Avenir Next LT Pro" w:cs="Arial"/>
          <w:spacing w:val="-4"/>
          <w:lang w:val="es-ES"/>
        </w:rPr>
      </w:pPr>
      <w:r w:rsidRPr="00256EB8">
        <w:rPr>
          <w:rFonts w:ascii="Avenir Next LT Pro" w:hAnsi="Avenir Next LT Pro" w:cstheme="minorHAnsi"/>
          <w:spacing w:val="-4"/>
          <w:lang w:val="es-ES"/>
        </w:rPr>
        <w:lastRenderedPageBreak/>
        <w:t>En el tema de la carta porte, nuestra posición ha sido firme en solicitar al Servicio de Administración Tributaria no incluir como obligatoria información sensible, tal como nombres de los operadores, direcciones, valor y tipo de la mercancía, entre otros. En este sentido, por parte de nuestros colegios federado</w:t>
      </w:r>
      <w:r w:rsidR="00786CF9">
        <w:rPr>
          <w:rFonts w:ascii="Avenir Next LT Pro" w:hAnsi="Avenir Next LT Pro" w:cstheme="minorHAnsi"/>
          <w:spacing w:val="-4"/>
          <w:lang w:val="es-ES"/>
        </w:rPr>
        <w:t>s</w:t>
      </w:r>
      <w:r w:rsidRPr="00256EB8">
        <w:rPr>
          <w:rFonts w:ascii="Avenir Next LT Pro" w:hAnsi="Avenir Next LT Pro" w:cstheme="minorHAnsi"/>
          <w:spacing w:val="-4"/>
          <w:lang w:val="es-ES"/>
        </w:rPr>
        <w:t xml:space="preserve"> hemos seguido recibiendo inquietudes sobre la implementación de este complemento, en particular de los protocolos de revisión, y continuamos percibiendo que sólo </w:t>
      </w:r>
      <w:r w:rsidRPr="00256EB8">
        <w:rPr>
          <w:rFonts w:ascii="Avenir Next LT Pro" w:hAnsi="Avenir Next LT Pro" w:cs="Arial"/>
          <w:spacing w:val="-4"/>
          <w:lang w:val="es-ES"/>
        </w:rPr>
        <w:t xml:space="preserve">los grandes contribuyentes están en posibilidades de </w:t>
      </w:r>
      <w:r w:rsidRPr="006B76A3">
        <w:rPr>
          <w:rFonts w:ascii="Avenir Next LT Pro" w:hAnsi="Avenir Next LT Pro" w:cs="Arial"/>
          <w:spacing w:val="-4"/>
          <w:lang w:val="es-ES"/>
        </w:rPr>
        <w:t>cumplir, porque cuentan con la infraestructura y recursos necesarios para hacerlo.</w:t>
      </w:r>
    </w:p>
    <w:p w14:paraId="073701A7" w14:textId="488DCF8A" w:rsidR="009F576F" w:rsidRPr="00256EB8" w:rsidRDefault="009F576F" w:rsidP="001D4D3A">
      <w:pPr>
        <w:spacing w:before="120" w:after="120"/>
        <w:jc w:val="both"/>
        <w:rPr>
          <w:rFonts w:ascii="Avenir Next LT Pro" w:hAnsi="Avenir Next LT Pro" w:cs="Arial"/>
          <w:spacing w:val="-4"/>
          <w:lang w:val="es-ES"/>
        </w:rPr>
      </w:pPr>
      <w:r w:rsidRPr="006B76A3">
        <w:rPr>
          <w:rFonts w:ascii="Avenir Next LT Pro" w:hAnsi="Avenir Next LT Pro" w:cs="Arial"/>
          <w:spacing w:val="-4"/>
          <w:lang w:val="es-ES"/>
        </w:rPr>
        <w:t xml:space="preserve">Lo anterior sin olvidar que </w:t>
      </w:r>
      <w:r w:rsidR="000616B3" w:rsidRPr="006B76A3">
        <w:rPr>
          <w:rFonts w:ascii="Avenir Next LT Pro" w:hAnsi="Avenir Next LT Pro" w:cs="Arial"/>
          <w:spacing w:val="-4"/>
          <w:lang w:val="es-ES"/>
        </w:rPr>
        <w:t xml:space="preserve">la información que se incluye en este complemento puede </w:t>
      </w:r>
      <w:r w:rsidR="000616B3" w:rsidRPr="006B76A3">
        <w:rPr>
          <w:rFonts w:ascii="Avenir Next LT Pro" w:hAnsi="Avenir Next LT Pro" w:cs="Arial"/>
        </w:rPr>
        <w:t>poner en ries</w:t>
      </w:r>
      <w:r w:rsidR="006E3C50" w:rsidRPr="006B76A3">
        <w:rPr>
          <w:rFonts w:ascii="Avenir Next LT Pro" w:hAnsi="Avenir Next LT Pro" w:cs="Arial"/>
        </w:rPr>
        <w:t>g</w:t>
      </w:r>
      <w:r w:rsidR="000616B3" w:rsidRPr="006B76A3">
        <w:rPr>
          <w:rFonts w:ascii="Avenir Next LT Pro" w:hAnsi="Avenir Next LT Pro" w:cs="Arial"/>
        </w:rPr>
        <w:t>o</w:t>
      </w:r>
      <w:r w:rsidRPr="006B76A3">
        <w:rPr>
          <w:rFonts w:ascii="Avenir Next LT Pro" w:hAnsi="Avenir Next LT Pro" w:cs="Arial"/>
        </w:rPr>
        <w:t xml:space="preserve"> la integridad física de los </w:t>
      </w:r>
      <w:r w:rsidR="000616B3" w:rsidRPr="006B76A3">
        <w:rPr>
          <w:rFonts w:ascii="Avenir Next LT Pro" w:hAnsi="Avenir Next LT Pro" w:cs="Arial"/>
        </w:rPr>
        <w:t>transportistas,</w:t>
      </w:r>
      <w:r w:rsidRPr="006B76A3">
        <w:rPr>
          <w:rFonts w:ascii="Avenir Next LT Pro" w:hAnsi="Avenir Next LT Pro" w:cs="Arial"/>
        </w:rPr>
        <w:t xml:space="preserve"> por el clima de inseguridad que se vive en </w:t>
      </w:r>
      <w:r w:rsidR="000616B3" w:rsidRPr="006B76A3">
        <w:rPr>
          <w:rFonts w:ascii="Avenir Next LT Pro" w:hAnsi="Avenir Next LT Pro" w:cs="Arial"/>
        </w:rPr>
        <w:t>las carreteras d</w:t>
      </w:r>
      <w:r w:rsidRPr="006B76A3">
        <w:rPr>
          <w:rFonts w:ascii="Avenir Next LT Pro" w:hAnsi="Avenir Next LT Pro" w:cs="Arial"/>
        </w:rPr>
        <w:t xml:space="preserve">el </w:t>
      </w:r>
      <w:r w:rsidR="00FB7669" w:rsidRPr="006B76A3">
        <w:rPr>
          <w:rFonts w:ascii="Avenir Next LT Pro" w:hAnsi="Avenir Next LT Pro" w:cs="Arial"/>
        </w:rPr>
        <w:t>territorio nacional</w:t>
      </w:r>
      <w:r w:rsidR="000616B3" w:rsidRPr="006B76A3">
        <w:rPr>
          <w:rFonts w:ascii="Avenir Next LT Pro" w:hAnsi="Avenir Next LT Pro" w:cs="Arial"/>
        </w:rPr>
        <w:t>.</w:t>
      </w:r>
    </w:p>
    <w:p w14:paraId="67668B04" w14:textId="77777777" w:rsidR="001D4D3A" w:rsidRPr="00701B25" w:rsidRDefault="001D4D3A" w:rsidP="001D4D3A">
      <w:pPr>
        <w:pStyle w:val="Ttulo1"/>
        <w:spacing w:after="120"/>
        <w:jc w:val="center"/>
        <w:rPr>
          <w:rFonts w:ascii="Avenir Next LT Pro" w:hAnsi="Avenir Next LT Pro" w:cstheme="minorHAnsi"/>
          <w:b/>
          <w:bCs/>
          <w:sz w:val="26"/>
          <w:szCs w:val="26"/>
          <w:lang w:val="es-ES"/>
        </w:rPr>
      </w:pPr>
      <w:bookmarkStart w:id="0" w:name="_Toc129099034"/>
      <w:r w:rsidRPr="00701B25">
        <w:rPr>
          <w:rFonts w:ascii="Avenir Next LT Pro" w:hAnsi="Avenir Next LT Pro" w:cstheme="minorHAnsi"/>
          <w:b/>
          <w:bCs/>
          <w:color w:val="000000" w:themeColor="text1"/>
          <w:sz w:val="26"/>
          <w:szCs w:val="26"/>
          <w:lang w:val="es-ES"/>
        </w:rPr>
        <w:t>Tasas efectivas de ISR a Grandes Contribuyentes</w:t>
      </w:r>
      <w:bookmarkEnd w:id="0"/>
    </w:p>
    <w:p w14:paraId="63F00566" w14:textId="77777777" w:rsidR="001D4D3A" w:rsidRPr="00ED6811" w:rsidRDefault="001D4D3A" w:rsidP="001D4D3A">
      <w:pPr>
        <w:pStyle w:val="Sinespaciado"/>
        <w:spacing w:before="120" w:after="120"/>
        <w:jc w:val="both"/>
        <w:rPr>
          <w:rStyle w:val="Hipervnculo"/>
          <w:rFonts w:ascii="Avenir Next LT Pro" w:hAnsi="Avenir Next LT Pro"/>
          <w:color w:val="000000"/>
          <w:sz w:val="24"/>
          <w:szCs w:val="24"/>
          <w:u w:val="none"/>
        </w:rPr>
      </w:pPr>
      <w:r w:rsidRPr="00ED6811">
        <w:rPr>
          <w:rStyle w:val="Hipervnculo"/>
          <w:rFonts w:ascii="Avenir Next LT Pro" w:hAnsi="Avenir Next LT Pro"/>
          <w:color w:val="000000"/>
          <w:sz w:val="24"/>
          <w:szCs w:val="24"/>
          <w:u w:val="none"/>
        </w:rPr>
        <w:t>Con fecha</w:t>
      </w:r>
      <w:r>
        <w:rPr>
          <w:rStyle w:val="Hipervnculo"/>
          <w:rFonts w:ascii="Avenir Next LT Pro" w:hAnsi="Avenir Next LT Pro"/>
          <w:color w:val="000000"/>
          <w:sz w:val="24"/>
          <w:szCs w:val="24"/>
          <w:u w:val="none"/>
        </w:rPr>
        <w:t xml:space="preserve"> </w:t>
      </w:r>
      <w:r w:rsidRPr="00DD05EC">
        <w:rPr>
          <w:rStyle w:val="Hipervnculo"/>
          <w:rFonts w:ascii="Avenir Next LT Pro" w:hAnsi="Avenir Next LT Pro"/>
          <w:b/>
          <w:bCs/>
          <w:color w:val="000000"/>
          <w:sz w:val="24"/>
          <w:szCs w:val="24"/>
          <w:u w:val="none"/>
        </w:rPr>
        <w:t xml:space="preserve">31 de enero </w:t>
      </w:r>
      <w:r w:rsidRPr="00ED6811">
        <w:rPr>
          <w:rStyle w:val="Hipervnculo"/>
          <w:rFonts w:ascii="Avenir Next LT Pro" w:hAnsi="Avenir Next LT Pro"/>
          <w:b/>
          <w:bCs/>
          <w:color w:val="000000"/>
          <w:sz w:val="24"/>
          <w:szCs w:val="24"/>
          <w:u w:val="none"/>
        </w:rPr>
        <w:t xml:space="preserve">de 2023, </w:t>
      </w:r>
      <w:r w:rsidRPr="005C2209">
        <w:rPr>
          <w:rStyle w:val="Hipervnculo"/>
          <w:rFonts w:ascii="Avenir Next LT Pro" w:hAnsi="Avenir Next LT Pro"/>
          <w:color w:val="000000"/>
          <w:sz w:val="24"/>
          <w:szCs w:val="24"/>
          <w:u w:val="none"/>
        </w:rPr>
        <w:t xml:space="preserve">el </w:t>
      </w:r>
      <w:r w:rsidRPr="00ED6811">
        <w:rPr>
          <w:rStyle w:val="Hipervnculo"/>
          <w:rFonts w:ascii="Avenir Next LT Pro" w:hAnsi="Avenir Next LT Pro"/>
          <w:color w:val="000000"/>
          <w:sz w:val="24"/>
          <w:szCs w:val="24"/>
          <w:u w:val="none"/>
        </w:rPr>
        <w:t>Servicio de Administración Tributaria (</w:t>
      </w:r>
      <w:r w:rsidRPr="00ED6811">
        <w:rPr>
          <w:rStyle w:val="Hipervnculo"/>
          <w:rFonts w:ascii="Avenir Next LT Pro" w:hAnsi="Avenir Next LT Pro"/>
          <w:b/>
          <w:bCs/>
          <w:color w:val="000000"/>
          <w:sz w:val="24"/>
          <w:szCs w:val="24"/>
          <w:u w:val="none"/>
        </w:rPr>
        <w:t>SAT</w:t>
      </w:r>
      <w:r w:rsidRPr="00ED6811">
        <w:rPr>
          <w:rStyle w:val="Hipervnculo"/>
          <w:rFonts w:ascii="Avenir Next LT Pro" w:hAnsi="Avenir Next LT Pro"/>
          <w:color w:val="000000"/>
          <w:sz w:val="24"/>
          <w:szCs w:val="24"/>
          <w:u w:val="none"/>
        </w:rPr>
        <w:t xml:space="preserve">) </w:t>
      </w:r>
      <w:r w:rsidRPr="00ED6811">
        <w:rPr>
          <w:rStyle w:val="Hipervnculo"/>
          <w:rFonts w:ascii="Avenir Next LT Pro" w:hAnsi="Avenir Next LT Pro"/>
          <w:b/>
          <w:bCs/>
          <w:color w:val="000000"/>
          <w:sz w:val="24"/>
          <w:szCs w:val="24"/>
          <w:u w:val="none"/>
        </w:rPr>
        <w:t xml:space="preserve">hizo la </w:t>
      </w:r>
      <w:r>
        <w:rPr>
          <w:rStyle w:val="Hipervnculo"/>
          <w:rFonts w:ascii="Avenir Next LT Pro" w:hAnsi="Avenir Next LT Pro"/>
          <w:b/>
          <w:bCs/>
          <w:color w:val="000000"/>
          <w:sz w:val="24"/>
          <w:szCs w:val="24"/>
          <w:u w:val="none"/>
        </w:rPr>
        <w:t>primera</w:t>
      </w:r>
      <w:r w:rsidRPr="00ED6811">
        <w:rPr>
          <w:rStyle w:val="Hipervnculo"/>
          <w:rFonts w:ascii="Avenir Next LT Pro" w:hAnsi="Avenir Next LT Pro"/>
          <w:b/>
          <w:bCs/>
          <w:color w:val="000000"/>
          <w:sz w:val="24"/>
          <w:szCs w:val="24"/>
          <w:u w:val="none"/>
        </w:rPr>
        <w:t xml:space="preserve"> publicación </w:t>
      </w:r>
      <w:r w:rsidRPr="005C2209">
        <w:rPr>
          <w:rStyle w:val="Hipervnculo"/>
          <w:rFonts w:ascii="Avenir Next LT Pro" w:hAnsi="Avenir Next LT Pro"/>
          <w:color w:val="000000"/>
          <w:sz w:val="24"/>
          <w:szCs w:val="24"/>
          <w:u w:val="none"/>
        </w:rPr>
        <w:t xml:space="preserve">de tasas efectivas de impuesto sobre la renta de Grandes Contribuyentes. </w:t>
      </w:r>
      <w:r w:rsidRPr="00ED6811">
        <w:rPr>
          <w:rStyle w:val="Hipervnculo"/>
          <w:rFonts w:ascii="Avenir Next LT Pro" w:hAnsi="Avenir Next LT Pro"/>
          <w:color w:val="000000"/>
          <w:sz w:val="24"/>
          <w:szCs w:val="24"/>
          <w:u w:val="none"/>
        </w:rPr>
        <w:t>Posteriormente en fechas</w:t>
      </w:r>
      <w:r w:rsidRPr="00DD05EC">
        <w:rPr>
          <w:rStyle w:val="Hipervnculo"/>
          <w:rFonts w:ascii="Avenir Next LT Pro" w:hAnsi="Avenir Next LT Pro"/>
          <w:color w:val="000000"/>
          <w:sz w:val="24"/>
          <w:szCs w:val="24"/>
          <w:u w:val="none"/>
        </w:rPr>
        <w:t xml:space="preserve"> 7</w:t>
      </w:r>
      <w:r>
        <w:rPr>
          <w:rStyle w:val="Hipervnculo"/>
          <w:rFonts w:ascii="Avenir Next LT Pro" w:hAnsi="Avenir Next LT Pro"/>
          <w:color w:val="000000"/>
          <w:sz w:val="24"/>
          <w:szCs w:val="24"/>
          <w:u w:val="none"/>
        </w:rPr>
        <w:t xml:space="preserve">, </w:t>
      </w:r>
      <w:r w:rsidRPr="00ED6811">
        <w:rPr>
          <w:rStyle w:val="Hipervnculo"/>
          <w:rFonts w:ascii="Avenir Next LT Pro" w:hAnsi="Avenir Next LT Pro"/>
          <w:color w:val="000000"/>
          <w:sz w:val="24"/>
          <w:szCs w:val="24"/>
          <w:u w:val="none"/>
        </w:rPr>
        <w:t>14</w:t>
      </w:r>
      <w:r>
        <w:rPr>
          <w:rStyle w:val="Hipervnculo"/>
          <w:rFonts w:ascii="Avenir Next LT Pro" w:hAnsi="Avenir Next LT Pro"/>
          <w:color w:val="000000"/>
          <w:sz w:val="24"/>
          <w:szCs w:val="24"/>
          <w:u w:val="none"/>
        </w:rPr>
        <w:t xml:space="preserve">, </w:t>
      </w:r>
      <w:r w:rsidRPr="00ED6811">
        <w:rPr>
          <w:rStyle w:val="Hipervnculo"/>
          <w:rFonts w:ascii="Avenir Next LT Pro" w:hAnsi="Avenir Next LT Pro"/>
          <w:color w:val="000000"/>
          <w:sz w:val="24"/>
          <w:szCs w:val="24"/>
          <w:u w:val="none"/>
        </w:rPr>
        <w:t xml:space="preserve">21 </w:t>
      </w:r>
      <w:r>
        <w:rPr>
          <w:rStyle w:val="Hipervnculo"/>
          <w:rFonts w:ascii="Avenir Next LT Pro" w:hAnsi="Avenir Next LT Pro"/>
          <w:color w:val="000000"/>
          <w:sz w:val="24"/>
          <w:szCs w:val="24"/>
          <w:u w:val="none"/>
        </w:rPr>
        <w:t>y</w:t>
      </w:r>
      <w:r w:rsidRPr="00ED6811">
        <w:rPr>
          <w:rStyle w:val="Hipervnculo"/>
          <w:rFonts w:ascii="Avenir Next LT Pro" w:hAnsi="Avenir Next LT Pro"/>
          <w:color w:val="000000"/>
          <w:sz w:val="24"/>
          <w:szCs w:val="24"/>
          <w:u w:val="none"/>
        </w:rPr>
        <w:t xml:space="preserve"> 28 de febrero</w:t>
      </w:r>
      <w:r>
        <w:rPr>
          <w:rStyle w:val="Hipervnculo"/>
          <w:rFonts w:ascii="Avenir Next LT Pro" w:hAnsi="Avenir Next LT Pro"/>
          <w:color w:val="000000"/>
          <w:sz w:val="24"/>
          <w:szCs w:val="24"/>
          <w:u w:val="none"/>
        </w:rPr>
        <w:t>, así como</w:t>
      </w:r>
      <w:r w:rsidRPr="00ED6811">
        <w:rPr>
          <w:rStyle w:val="Hipervnculo"/>
          <w:rFonts w:ascii="Avenir Next LT Pro" w:hAnsi="Avenir Next LT Pro"/>
          <w:color w:val="000000"/>
          <w:sz w:val="24"/>
          <w:szCs w:val="24"/>
          <w:u w:val="none"/>
        </w:rPr>
        <w:t xml:space="preserve"> 7, 14 y 21 de marzo de 2023, el SAT realizó las publicaciones subsecuentes.</w:t>
      </w:r>
      <w:r>
        <w:rPr>
          <w:rStyle w:val="Hipervnculo"/>
          <w:rFonts w:ascii="Avenir Next LT Pro" w:hAnsi="Avenir Next LT Pro"/>
          <w:color w:val="000000"/>
          <w:sz w:val="24"/>
          <w:szCs w:val="24"/>
          <w:u w:val="none"/>
        </w:rPr>
        <w:t xml:space="preserve"> </w:t>
      </w:r>
      <w:r w:rsidRPr="00ED6811">
        <w:rPr>
          <w:rStyle w:val="Hipervnculo"/>
          <w:rFonts w:ascii="Avenir Next LT Pro" w:hAnsi="Avenir Next LT Pro"/>
          <w:b/>
          <w:bCs/>
          <w:color w:val="000000"/>
          <w:sz w:val="24"/>
          <w:szCs w:val="24"/>
          <w:u w:val="none"/>
        </w:rPr>
        <w:t>A la fecha tenemos 8 publicaciones</w:t>
      </w:r>
      <w:r w:rsidRPr="00ED6811">
        <w:rPr>
          <w:rStyle w:val="Hipervnculo"/>
          <w:rFonts w:ascii="Avenir Next LT Pro" w:hAnsi="Avenir Next LT Pro"/>
          <w:color w:val="000000"/>
          <w:sz w:val="24"/>
          <w:szCs w:val="24"/>
          <w:u w:val="none"/>
        </w:rPr>
        <w:t xml:space="preserve"> dirigidas a un </w:t>
      </w:r>
      <w:r w:rsidRPr="00BB0272">
        <w:rPr>
          <w:rStyle w:val="Hipervnculo"/>
          <w:rFonts w:ascii="Avenir Next LT Pro" w:hAnsi="Avenir Next LT Pro"/>
          <w:b/>
          <w:bCs/>
          <w:color w:val="000000"/>
          <w:sz w:val="24"/>
          <w:szCs w:val="24"/>
          <w:u w:val="none"/>
        </w:rPr>
        <w:t>total de 60 sectores y 302 actividades económicas</w:t>
      </w:r>
      <w:r w:rsidRPr="00ED6811">
        <w:rPr>
          <w:rStyle w:val="Hipervnculo"/>
          <w:rFonts w:ascii="Avenir Next LT Pro" w:hAnsi="Avenir Next LT Pro"/>
          <w:color w:val="000000"/>
          <w:sz w:val="24"/>
          <w:szCs w:val="24"/>
          <w:u w:val="none"/>
        </w:rPr>
        <w:t xml:space="preserve">. </w:t>
      </w:r>
    </w:p>
    <w:p w14:paraId="0A0BF7F2" w14:textId="77777777" w:rsidR="001D4D3A" w:rsidRPr="00701B25" w:rsidRDefault="001D4D3A" w:rsidP="001D4D3A">
      <w:pPr>
        <w:pStyle w:val="Sinespaciado"/>
        <w:spacing w:before="120" w:after="120"/>
        <w:jc w:val="both"/>
        <w:rPr>
          <w:rStyle w:val="Hipervnculo"/>
          <w:rFonts w:ascii="Avenir Next LT Pro" w:hAnsi="Avenir Next LT Pro" w:cs="Calibri"/>
          <w:color w:val="000000"/>
          <w:sz w:val="24"/>
          <w:szCs w:val="24"/>
          <w:u w:val="none"/>
        </w:rPr>
      </w:pPr>
      <w:r w:rsidRPr="00701B25">
        <w:rPr>
          <w:rStyle w:val="Hipervnculo"/>
          <w:rFonts w:ascii="Avenir Next LT Pro" w:hAnsi="Avenir Next LT Pro" w:cs="Calibri"/>
          <w:color w:val="000000"/>
          <w:sz w:val="24"/>
          <w:szCs w:val="24"/>
          <w:u w:val="none"/>
        </w:rPr>
        <w:t xml:space="preserve">El listado de las tasas sólo está dirigido a los </w:t>
      </w:r>
      <w:hyperlink r:id="rId11" w:tgtFrame="_blank" w:history="1">
        <w:r w:rsidRPr="00701B25">
          <w:rPr>
            <w:rStyle w:val="Hipervnculo"/>
            <w:rFonts w:ascii="Avenir Next LT Pro" w:hAnsi="Avenir Next LT Pro" w:cs="Calibri"/>
            <w:color w:val="000000"/>
            <w:sz w:val="24"/>
            <w:szCs w:val="24"/>
            <w:u w:val="none"/>
            <w:lang w:val="es-ES_tradnl"/>
          </w:rPr>
          <w:t>grandes contribuyentes</w:t>
        </w:r>
      </w:hyperlink>
      <w:r w:rsidRPr="00701B25">
        <w:rPr>
          <w:rStyle w:val="Hipervnculo"/>
          <w:rFonts w:ascii="Avenir Next LT Pro" w:hAnsi="Avenir Next LT Pro" w:cs="Calibri"/>
          <w:color w:val="000000"/>
          <w:sz w:val="24"/>
          <w:szCs w:val="24"/>
          <w:u w:val="none"/>
        </w:rPr>
        <w:t>, que son aquellos que generan ingresos anuales mayores a 1,500 millones de pesos.</w:t>
      </w:r>
    </w:p>
    <w:p w14:paraId="0833A2E2" w14:textId="77777777" w:rsidR="001D4D3A" w:rsidRDefault="001D4D3A" w:rsidP="001D4D3A">
      <w:pPr>
        <w:pStyle w:val="Sinespaciado"/>
        <w:spacing w:before="120" w:after="120"/>
        <w:jc w:val="both"/>
        <w:rPr>
          <w:rStyle w:val="Hipervnculo"/>
          <w:rFonts w:ascii="Avenir Next LT Pro" w:hAnsi="Avenir Next LT Pro" w:cstheme="minorHAnsi"/>
          <w:color w:val="auto"/>
          <w:u w:val="none"/>
          <w:lang w:val="es-ES"/>
        </w:rPr>
      </w:pPr>
      <w:r w:rsidRPr="000462A4">
        <w:rPr>
          <w:rFonts w:ascii="Avenir Next LT Pro" w:hAnsi="Avenir Next LT Pro" w:cstheme="minorHAnsi"/>
          <w:sz w:val="24"/>
          <w:szCs w:val="24"/>
          <w:lang w:val="es-ES"/>
        </w:rPr>
        <w:t xml:space="preserve">Como siempre, la recomendación es apoyarse con Contadores Públicos actualizados para contar con el respaldo que nuestras organizaciones necesitan. </w:t>
      </w:r>
    </w:p>
    <w:p w14:paraId="6775597A" w14:textId="77777777" w:rsidR="002B2062" w:rsidRPr="00ED6811" w:rsidRDefault="002B2062" w:rsidP="00ED6811">
      <w:pPr>
        <w:pStyle w:val="Sinespaciado"/>
        <w:spacing w:before="120" w:after="120"/>
        <w:jc w:val="both"/>
        <w:rPr>
          <w:rStyle w:val="Hipervnculo"/>
          <w:rFonts w:ascii="Avenir Next LT Pro" w:hAnsi="Avenir Next LT Pro"/>
          <w:color w:val="000000"/>
          <w:sz w:val="24"/>
          <w:szCs w:val="24"/>
          <w:u w:val="none"/>
        </w:rPr>
      </w:pPr>
    </w:p>
    <w:p w14:paraId="6038D8F8" w14:textId="510E0F77" w:rsidR="00E94D0B" w:rsidRDefault="00E94D0B" w:rsidP="000D0C58">
      <w:pPr>
        <w:spacing w:before="120" w:after="120"/>
        <w:jc w:val="right"/>
        <w:rPr>
          <w:rFonts w:ascii="Avenir Next LT Pro" w:hAnsi="Avenir Next LT Pro" w:cs="Arial"/>
        </w:rPr>
      </w:pPr>
      <w:r w:rsidRPr="00BD1335">
        <w:rPr>
          <w:rFonts w:ascii="Avenir Next LT Pro" w:hAnsi="Avenir Next LT Pro" w:cs="Arial"/>
          <w:b/>
          <w:bCs/>
        </w:rPr>
        <w:t>Dra. Laura Grajeda Trejo</w:t>
      </w:r>
      <w:r w:rsidR="002D14A1">
        <w:rPr>
          <w:rFonts w:ascii="Avenir Next LT Pro" w:hAnsi="Avenir Next LT Pro" w:cs="Arial"/>
          <w:b/>
          <w:bCs/>
        </w:rPr>
        <w:br/>
      </w:r>
      <w:proofErr w:type="gramStart"/>
      <w:r w:rsidRPr="00BD1335">
        <w:rPr>
          <w:rFonts w:ascii="Avenir Next LT Pro" w:hAnsi="Avenir Next LT Pro" w:cs="Arial"/>
        </w:rPr>
        <w:t>Presidenta</w:t>
      </w:r>
      <w:proofErr w:type="gramEnd"/>
      <w:r w:rsidRPr="00BD1335">
        <w:rPr>
          <w:rFonts w:ascii="Avenir Next LT Pro" w:hAnsi="Avenir Next LT Pro" w:cs="Arial"/>
        </w:rPr>
        <w:t xml:space="preserve"> del IMCP</w:t>
      </w:r>
    </w:p>
    <w:p w14:paraId="1781ACB9" w14:textId="18CF5E98" w:rsidR="006311FE" w:rsidRDefault="00344883" w:rsidP="00F45288">
      <w:pPr>
        <w:spacing w:before="120" w:after="120"/>
        <w:jc w:val="center"/>
        <w:rPr>
          <w:rFonts w:ascii="Avenir Next LT Pro" w:hAnsi="Avenir Next LT Pro" w:cs="Arial"/>
          <w:b/>
          <w:bCs/>
        </w:rPr>
      </w:pPr>
      <w:r w:rsidRPr="00BD1335">
        <w:rPr>
          <w:rFonts w:ascii="Avenir Next LT Pro" w:hAnsi="Avenir Next LT Pro" w:cs="Arial"/>
          <w:b/>
          <w:bCs/>
        </w:rPr>
        <w:t>***</w:t>
      </w:r>
      <w:r w:rsidR="00F45288" w:rsidRPr="00BD1335">
        <w:rPr>
          <w:rFonts w:ascii="Avenir Next LT Pro" w:hAnsi="Avenir Next LT Pro" w:cs="Arial"/>
          <w:b/>
          <w:bCs/>
        </w:rPr>
        <w:t xml:space="preserve"> </w:t>
      </w:r>
      <w:r w:rsidR="006311FE" w:rsidRPr="00BD1335">
        <w:rPr>
          <w:rFonts w:ascii="Avenir Next LT Pro" w:hAnsi="Avenir Next LT Pro" w:cs="Arial"/>
          <w:b/>
          <w:bCs/>
        </w:rPr>
        <w:br w:type="page"/>
      </w:r>
    </w:p>
    <w:p w14:paraId="1D68A595" w14:textId="77777777" w:rsidR="00483306" w:rsidRDefault="00483306" w:rsidP="004D1F94">
      <w:pPr>
        <w:spacing w:after="120"/>
        <w:jc w:val="center"/>
        <w:rPr>
          <w:rFonts w:ascii="Avenir Next LT Pro" w:hAnsi="Avenir Next LT Pro" w:cs="Arial"/>
          <w:b/>
        </w:rPr>
      </w:pPr>
    </w:p>
    <w:p w14:paraId="6C8A031E" w14:textId="77777777" w:rsidR="00185D93" w:rsidRPr="00F90C57" w:rsidRDefault="00185D93" w:rsidP="00185D93">
      <w:pPr>
        <w:spacing w:before="360" w:after="240"/>
        <w:jc w:val="center"/>
        <w:rPr>
          <w:rFonts w:ascii="Avenir Next LT Pro" w:hAnsi="Avenir Next LT Pro" w:cs="Arial"/>
          <w:b/>
        </w:rPr>
      </w:pPr>
      <w:r w:rsidRPr="006B76A3">
        <w:rPr>
          <w:rFonts w:ascii="Avenir Next LT Pro" w:hAnsi="Avenir Next LT Pro" w:cs="Arial"/>
          <w:b/>
        </w:rPr>
        <w:t>RECOMENDACIONES EN LA DECLARACIÓN ANUAL DE LAS PERSONAS MORALES</w:t>
      </w:r>
    </w:p>
    <w:p w14:paraId="0510A272" w14:textId="60281978" w:rsidR="004D1F94" w:rsidRPr="00914268" w:rsidRDefault="00817044" w:rsidP="004640BB">
      <w:pPr>
        <w:spacing w:before="120" w:after="120"/>
        <w:jc w:val="both"/>
        <w:rPr>
          <w:rFonts w:ascii="Avenir Next LT Pro" w:hAnsi="Avenir Next LT Pro" w:cs="Arial"/>
          <w:color w:val="000000"/>
        </w:rPr>
      </w:pPr>
      <w:r>
        <w:rPr>
          <w:rFonts w:ascii="Avenir Next LT Pro" w:hAnsi="Avenir Next LT Pro" w:cs="Arial"/>
          <w:color w:val="000000"/>
        </w:rPr>
        <w:t>Hemos recibido reportes de</w:t>
      </w:r>
      <w:r w:rsidR="004D1F94" w:rsidRPr="00914268">
        <w:rPr>
          <w:rFonts w:ascii="Avenir Next LT Pro" w:hAnsi="Avenir Next LT Pro" w:cs="Arial"/>
          <w:color w:val="000000"/>
        </w:rPr>
        <w:t xml:space="preserve"> problemáticas entre los contribuyentes para la presentación de la declaración anual de </w:t>
      </w:r>
      <w:r w:rsidR="00734C75">
        <w:rPr>
          <w:rFonts w:ascii="Avenir Next LT Pro" w:hAnsi="Avenir Next LT Pro" w:cs="Arial"/>
          <w:color w:val="000000"/>
        </w:rPr>
        <w:t xml:space="preserve">las </w:t>
      </w:r>
      <w:r w:rsidR="004D1F94" w:rsidRPr="00914268">
        <w:rPr>
          <w:rFonts w:ascii="Avenir Next LT Pro" w:hAnsi="Avenir Next LT Pro" w:cs="Arial"/>
          <w:color w:val="000000"/>
        </w:rPr>
        <w:t>personas morales 2022</w:t>
      </w:r>
      <w:r w:rsidR="00734C75">
        <w:rPr>
          <w:rFonts w:ascii="Avenir Next LT Pro" w:hAnsi="Avenir Next LT Pro" w:cs="Arial"/>
          <w:color w:val="000000"/>
        </w:rPr>
        <w:t>;</w:t>
      </w:r>
      <w:r w:rsidR="004D1F94" w:rsidRPr="00914268">
        <w:rPr>
          <w:rFonts w:ascii="Avenir Next LT Pro" w:hAnsi="Avenir Next LT Pro" w:cs="Arial"/>
          <w:color w:val="000000"/>
        </w:rPr>
        <w:t xml:space="preserve"> a continuación</w:t>
      </w:r>
      <w:r w:rsidR="00B9635C">
        <w:rPr>
          <w:rFonts w:ascii="Avenir Next LT Pro" w:hAnsi="Avenir Next LT Pro" w:cs="Arial"/>
          <w:color w:val="000000"/>
        </w:rPr>
        <w:t>,</w:t>
      </w:r>
      <w:r w:rsidR="004D1F94" w:rsidRPr="00914268">
        <w:rPr>
          <w:rFonts w:ascii="Avenir Next LT Pro" w:hAnsi="Avenir Next LT Pro" w:cs="Arial"/>
          <w:color w:val="000000"/>
        </w:rPr>
        <w:t xml:space="preserve"> se comentan algunas de ellas, así como </w:t>
      </w:r>
      <w:r w:rsidR="00D471DF">
        <w:rPr>
          <w:rFonts w:ascii="Avenir Next LT Pro" w:hAnsi="Avenir Next LT Pro" w:cs="Arial"/>
          <w:color w:val="000000"/>
        </w:rPr>
        <w:t xml:space="preserve">las </w:t>
      </w:r>
      <w:r w:rsidR="004D1F94" w:rsidRPr="00914268">
        <w:rPr>
          <w:rFonts w:ascii="Avenir Next LT Pro" w:hAnsi="Avenir Next LT Pro" w:cs="Arial"/>
          <w:color w:val="000000"/>
        </w:rPr>
        <w:t>recomendaciones e información al respecto.</w:t>
      </w:r>
    </w:p>
    <w:p w14:paraId="00E6B02B" w14:textId="77777777" w:rsidR="004D1F94" w:rsidRPr="00914268" w:rsidRDefault="004D1F94" w:rsidP="004640BB">
      <w:pPr>
        <w:spacing w:before="240" w:after="120"/>
        <w:rPr>
          <w:rFonts w:ascii="Avenir Next LT Pro" w:hAnsi="Avenir Next LT Pro"/>
          <w:b/>
        </w:rPr>
      </w:pPr>
      <w:r w:rsidRPr="00914268">
        <w:rPr>
          <w:rFonts w:ascii="Avenir Next LT Pro" w:hAnsi="Avenir Next LT Pro"/>
          <w:b/>
        </w:rPr>
        <w:t>Vista previa de estados financieros en la declaración anual 2022</w:t>
      </w:r>
    </w:p>
    <w:p w14:paraId="2D010A89" w14:textId="0B1DBE66" w:rsidR="004D1F94" w:rsidRPr="00914268" w:rsidRDefault="004D1F94" w:rsidP="004640BB">
      <w:pPr>
        <w:spacing w:before="120" w:after="120"/>
        <w:jc w:val="both"/>
        <w:rPr>
          <w:rFonts w:ascii="Avenir Next LT Pro" w:hAnsi="Avenir Next LT Pro" w:cs="Arial"/>
          <w:bCs/>
        </w:rPr>
      </w:pPr>
      <w:r w:rsidRPr="00914268">
        <w:rPr>
          <w:rFonts w:ascii="Avenir Next LT Pro" w:hAnsi="Avenir Next LT Pro" w:cs="Arial"/>
          <w:bCs/>
        </w:rPr>
        <w:t xml:space="preserve">En el aplicativo para la elaboración y presentación de la </w:t>
      </w:r>
      <w:r w:rsidR="00894250">
        <w:rPr>
          <w:rFonts w:ascii="Avenir Next LT Pro" w:hAnsi="Avenir Next LT Pro" w:cs="Arial"/>
          <w:bCs/>
        </w:rPr>
        <w:t>d</w:t>
      </w:r>
      <w:r w:rsidRPr="00914268">
        <w:rPr>
          <w:rFonts w:ascii="Avenir Next LT Pro" w:hAnsi="Avenir Next LT Pro" w:cs="Arial"/>
          <w:bCs/>
        </w:rPr>
        <w:t xml:space="preserve">eclaración </w:t>
      </w:r>
      <w:r w:rsidR="00894250">
        <w:rPr>
          <w:rFonts w:ascii="Avenir Next LT Pro" w:hAnsi="Avenir Next LT Pro" w:cs="Arial"/>
          <w:bCs/>
        </w:rPr>
        <w:t>a</w:t>
      </w:r>
      <w:r w:rsidRPr="00914268">
        <w:rPr>
          <w:rFonts w:ascii="Avenir Next LT Pro" w:hAnsi="Avenir Next LT Pro" w:cs="Arial"/>
          <w:bCs/>
        </w:rPr>
        <w:t xml:space="preserve">nual, no </w:t>
      </w:r>
      <w:r w:rsidR="00797722">
        <w:rPr>
          <w:rFonts w:ascii="Avenir Next LT Pro" w:hAnsi="Avenir Next LT Pro" w:cs="Arial"/>
          <w:bCs/>
        </w:rPr>
        <w:t xml:space="preserve">se </w:t>
      </w:r>
      <w:r w:rsidRPr="00914268">
        <w:rPr>
          <w:rFonts w:ascii="Avenir Next LT Pro" w:hAnsi="Avenir Next LT Pro" w:cs="Arial"/>
          <w:bCs/>
        </w:rPr>
        <w:t xml:space="preserve">proporciona vista previa de los </w:t>
      </w:r>
      <w:r w:rsidR="006F1AA7" w:rsidRPr="00914268">
        <w:rPr>
          <w:rFonts w:ascii="Avenir Next LT Pro" w:hAnsi="Avenir Next LT Pro" w:cs="Arial"/>
          <w:bCs/>
        </w:rPr>
        <w:t xml:space="preserve">estados financieros </w:t>
      </w:r>
      <w:r w:rsidRPr="00914268">
        <w:rPr>
          <w:rFonts w:ascii="Avenir Next LT Pro" w:hAnsi="Avenir Next LT Pro" w:cs="Arial"/>
          <w:bCs/>
        </w:rPr>
        <w:t xml:space="preserve">antes de su envío para una revisión preliminar. </w:t>
      </w:r>
      <w:r w:rsidRPr="00914268">
        <w:rPr>
          <w:rFonts w:ascii="Avenir Next LT Pro" w:hAnsi="Avenir Next LT Pro" w:cs="Arial"/>
        </w:rPr>
        <w:t>Sí proporciona</w:t>
      </w:r>
      <w:r w:rsidR="00B17B07">
        <w:rPr>
          <w:rFonts w:ascii="Avenir Next LT Pro" w:hAnsi="Avenir Next LT Pro" w:cs="Arial"/>
        </w:rPr>
        <w:t>,</w:t>
      </w:r>
      <w:r w:rsidRPr="00914268">
        <w:rPr>
          <w:rFonts w:ascii="Avenir Next LT Pro" w:hAnsi="Avenir Next LT Pro" w:cs="Arial"/>
        </w:rPr>
        <w:t xml:space="preserve"> en la vista previa, los apartados de ingresos, deducciones, determinación de ISR, etc</w:t>
      </w:r>
      <w:r w:rsidR="00410445">
        <w:rPr>
          <w:rFonts w:ascii="Avenir Next LT Pro" w:hAnsi="Avenir Next LT Pro" w:cs="Arial"/>
        </w:rPr>
        <w:t>étera</w:t>
      </w:r>
      <w:r w:rsidRPr="00914268">
        <w:rPr>
          <w:rFonts w:ascii="Avenir Next LT Pro" w:hAnsi="Avenir Next LT Pro" w:cs="Arial"/>
        </w:rPr>
        <w:t>.</w:t>
      </w:r>
    </w:p>
    <w:p w14:paraId="76204B6B" w14:textId="3D8A6B7D" w:rsidR="004D1F94" w:rsidRPr="00914268" w:rsidRDefault="004D1F94" w:rsidP="004640BB">
      <w:pPr>
        <w:spacing w:before="120" w:after="120"/>
        <w:jc w:val="both"/>
        <w:rPr>
          <w:rFonts w:ascii="Avenir Next LT Pro" w:eastAsia="Times New Roman" w:hAnsi="Avenir Next LT Pro" w:cs="Arial"/>
        </w:rPr>
      </w:pPr>
      <w:r w:rsidRPr="00914268">
        <w:rPr>
          <w:rFonts w:ascii="Avenir Next LT Pro" w:hAnsi="Avenir Next LT Pro" w:cs="Arial"/>
          <w:bCs/>
        </w:rPr>
        <w:t xml:space="preserve">Se ha presentado </w:t>
      </w:r>
      <w:r w:rsidR="0034239F">
        <w:rPr>
          <w:rFonts w:ascii="Avenir Next LT Pro" w:hAnsi="Avenir Next LT Pro" w:cs="Arial"/>
          <w:bCs/>
        </w:rPr>
        <w:t>mediante</w:t>
      </w:r>
      <w:r w:rsidRPr="00914268">
        <w:rPr>
          <w:rFonts w:ascii="Avenir Next LT Pro" w:hAnsi="Avenir Next LT Pro" w:cs="Arial"/>
          <w:bCs/>
        </w:rPr>
        <w:t xml:space="preserve"> la Comisión Nacional de Síndicos del IMCP, así como por algunos Colegios </w:t>
      </w:r>
      <w:r w:rsidR="0034239F">
        <w:rPr>
          <w:rFonts w:ascii="Avenir Next LT Pro" w:hAnsi="Avenir Next LT Pro" w:cs="Arial"/>
          <w:bCs/>
        </w:rPr>
        <w:t>F</w:t>
      </w:r>
      <w:r w:rsidRPr="00914268">
        <w:rPr>
          <w:rFonts w:ascii="Avenir Next LT Pro" w:hAnsi="Avenir Next LT Pro" w:cs="Arial"/>
          <w:bCs/>
        </w:rPr>
        <w:t xml:space="preserve">ederados en diversas Administraciones Desconcentradas del SAT, </w:t>
      </w:r>
      <w:r w:rsidR="00646EEE">
        <w:rPr>
          <w:rFonts w:ascii="Avenir Next LT Pro" w:hAnsi="Avenir Next LT Pro" w:cs="Arial"/>
          <w:bCs/>
        </w:rPr>
        <w:t xml:space="preserve">la </w:t>
      </w:r>
      <w:r w:rsidRPr="00914268">
        <w:rPr>
          <w:rFonts w:ascii="Avenir Next LT Pro" w:hAnsi="Avenir Next LT Pro" w:cs="Arial"/>
          <w:bCs/>
        </w:rPr>
        <w:t>solicitud para que se</w:t>
      </w:r>
      <w:r w:rsidR="006F1AA7">
        <w:rPr>
          <w:rFonts w:ascii="Avenir Next LT Pro" w:hAnsi="Avenir Next LT Pro" w:cs="Arial"/>
          <w:bCs/>
        </w:rPr>
        <w:t>a</w:t>
      </w:r>
      <w:r w:rsidRPr="00914268">
        <w:rPr>
          <w:rFonts w:ascii="Avenir Next LT Pro" w:hAnsi="Avenir Next LT Pro" w:cs="Arial"/>
          <w:bCs/>
        </w:rPr>
        <w:t xml:space="preserve"> posible obtener una vista previa de los estados financieros; esto con el fin de poder realizar una revisión previa al envío</w:t>
      </w:r>
      <w:r w:rsidR="002910A5">
        <w:rPr>
          <w:rFonts w:ascii="Avenir Next LT Pro" w:hAnsi="Avenir Next LT Pro" w:cs="Arial"/>
          <w:bCs/>
        </w:rPr>
        <w:t>,</w:t>
      </w:r>
      <w:r w:rsidRPr="00914268">
        <w:rPr>
          <w:rFonts w:ascii="Avenir Next LT Pro" w:hAnsi="Avenir Next LT Pro" w:cs="Arial"/>
          <w:bCs/>
        </w:rPr>
        <w:t xml:space="preserve"> y así presentar la información de forma correcta.</w:t>
      </w:r>
      <w:r w:rsidRPr="00914268">
        <w:rPr>
          <w:rFonts w:ascii="Avenir Next LT Pro" w:eastAsia="Times New Roman" w:hAnsi="Avenir Next LT Pro" w:cs="Arial"/>
        </w:rPr>
        <w:t xml:space="preserve"> </w:t>
      </w:r>
      <w:r w:rsidR="001A0B48" w:rsidRPr="00914268">
        <w:rPr>
          <w:rFonts w:ascii="Avenir Next LT Pro" w:eastAsia="Times New Roman" w:hAnsi="Avenir Next LT Pro" w:cs="Arial"/>
        </w:rPr>
        <w:t xml:space="preserve">Los estados financieros </w:t>
      </w:r>
      <w:r w:rsidR="001A0B48">
        <w:rPr>
          <w:rFonts w:ascii="Avenir Next LT Pro" w:eastAsia="Times New Roman" w:hAnsi="Avenir Next LT Pro" w:cs="Arial"/>
        </w:rPr>
        <w:t>s</w:t>
      </w:r>
      <w:r w:rsidRPr="00914268">
        <w:rPr>
          <w:rFonts w:ascii="Avenir Next LT Pro" w:eastAsia="Times New Roman" w:hAnsi="Avenir Next LT Pro" w:cs="Arial"/>
        </w:rPr>
        <w:t xml:space="preserve">olo se obtienen </w:t>
      </w:r>
      <w:r w:rsidR="001A0B48">
        <w:rPr>
          <w:rFonts w:ascii="Avenir Next LT Pro" w:eastAsia="Times New Roman" w:hAnsi="Avenir Next LT Pro" w:cs="Arial"/>
        </w:rPr>
        <w:t>después del</w:t>
      </w:r>
      <w:r w:rsidRPr="00914268">
        <w:rPr>
          <w:rFonts w:ascii="Avenir Next LT Pro" w:eastAsia="Times New Roman" w:hAnsi="Avenir Next LT Pro" w:cs="Arial"/>
        </w:rPr>
        <w:t xml:space="preserve"> envío</w:t>
      </w:r>
      <w:r w:rsidR="001D6A7A">
        <w:rPr>
          <w:rFonts w:ascii="Avenir Next LT Pro" w:eastAsia="Times New Roman" w:hAnsi="Avenir Next LT Pro" w:cs="Arial"/>
        </w:rPr>
        <w:t xml:space="preserve"> de</w:t>
      </w:r>
      <w:r w:rsidRPr="00914268">
        <w:rPr>
          <w:rFonts w:ascii="Avenir Next LT Pro" w:eastAsia="Times New Roman" w:hAnsi="Avenir Next LT Pro" w:cs="Arial"/>
        </w:rPr>
        <w:t xml:space="preserve"> la declaración, al generar el acuse de recibo,</w:t>
      </w:r>
      <w:r w:rsidR="003C5429">
        <w:rPr>
          <w:rFonts w:ascii="Avenir Next LT Pro" w:eastAsia="Times New Roman" w:hAnsi="Avenir Next LT Pro" w:cs="Arial"/>
        </w:rPr>
        <w:t xml:space="preserve"> y</w:t>
      </w:r>
      <w:r w:rsidRPr="00914268">
        <w:rPr>
          <w:rFonts w:ascii="Avenir Next LT Pro" w:eastAsia="Times New Roman" w:hAnsi="Avenir Next LT Pro" w:cs="Arial"/>
        </w:rPr>
        <w:t xml:space="preserve"> </w:t>
      </w:r>
      <w:r w:rsidRPr="00914268">
        <w:rPr>
          <w:rFonts w:ascii="Avenir Next LT Pro" w:hAnsi="Avenir Next LT Pro" w:cs="Arial"/>
          <w:bCs/>
        </w:rPr>
        <w:t xml:space="preserve">hasta ese momento es posible descargar en Excel, los estados financieros básicos y la conciliación contable-fiscal. </w:t>
      </w:r>
    </w:p>
    <w:p w14:paraId="4FFA3CA5" w14:textId="45446FE0" w:rsidR="004D1F94" w:rsidRPr="00914268" w:rsidRDefault="004D1F94" w:rsidP="004640BB">
      <w:pPr>
        <w:spacing w:before="240" w:after="120"/>
        <w:rPr>
          <w:rFonts w:ascii="Avenir Next LT Pro" w:hAnsi="Avenir Next LT Pro"/>
          <w:b/>
        </w:rPr>
      </w:pPr>
      <w:r w:rsidRPr="00914268">
        <w:rPr>
          <w:rFonts w:ascii="Avenir Next LT Pro" w:hAnsi="Avenir Next LT Pro"/>
          <w:b/>
        </w:rPr>
        <w:t xml:space="preserve">Recomendación para el llenado de los </w:t>
      </w:r>
      <w:r w:rsidR="003C5429" w:rsidRPr="00914268">
        <w:rPr>
          <w:rFonts w:ascii="Avenir Next LT Pro" w:hAnsi="Avenir Next LT Pro"/>
          <w:b/>
        </w:rPr>
        <w:t>estados financieros</w:t>
      </w:r>
    </w:p>
    <w:p w14:paraId="4DF57669" w14:textId="449893A4" w:rsidR="004D1F94" w:rsidRPr="00914268" w:rsidRDefault="004D1F94" w:rsidP="004640BB">
      <w:pPr>
        <w:spacing w:before="120" w:after="120"/>
        <w:jc w:val="both"/>
        <w:rPr>
          <w:rFonts w:ascii="Avenir Next LT Pro" w:hAnsi="Avenir Next LT Pro" w:cs="Arial"/>
          <w:color w:val="000000"/>
        </w:rPr>
      </w:pPr>
      <w:r w:rsidRPr="00914268">
        <w:rPr>
          <w:rFonts w:ascii="Avenir Next LT Pro" w:hAnsi="Avenir Next LT Pro" w:cs="Arial"/>
        </w:rPr>
        <w:t xml:space="preserve">Además de la inclusión en la declaración anual de los estados financieros básicos, los contribuyentes personas morales del régimen general, en forma previa a la presentación de la declaración anual, ya ingresan mensualmente </w:t>
      </w:r>
      <w:r w:rsidR="002D2524">
        <w:rPr>
          <w:rFonts w:ascii="Avenir Next LT Pro" w:hAnsi="Avenir Next LT Pro" w:cs="Arial"/>
        </w:rPr>
        <w:t>por medio</w:t>
      </w:r>
      <w:r w:rsidRPr="00914268">
        <w:rPr>
          <w:rFonts w:ascii="Avenir Next LT Pro" w:hAnsi="Avenir Next LT Pro" w:cs="Arial"/>
        </w:rPr>
        <w:t xml:space="preserve"> del SAT, la información contable, mediante balanzas de comprobación, compuestas de saldos iniciales, movimientos y saldos finales de cada </w:t>
      </w:r>
      <w:r w:rsidRPr="00914268">
        <w:rPr>
          <w:rFonts w:ascii="Avenir Next LT Pro" w:hAnsi="Avenir Next LT Pro" w:cs="Arial"/>
          <w:color w:val="000000"/>
        </w:rPr>
        <w:t xml:space="preserve">una de las cuentas de activo, pasivo, capital, resultados (ingresos, costos, gastos y resultado integral de financiamiento) y cuentas de orden, </w:t>
      </w:r>
      <w:r w:rsidRPr="00914268">
        <w:rPr>
          <w:rFonts w:ascii="Avenir Next LT Pro" w:hAnsi="Avenir Next LT Pro" w:cs="Arial"/>
        </w:rPr>
        <w:t>para cumplir con la obligación de presentación de la “contabilidad electrónica”</w:t>
      </w:r>
      <w:r w:rsidR="008B3C12">
        <w:rPr>
          <w:rFonts w:ascii="Avenir Next LT Pro" w:hAnsi="Avenir Next LT Pro" w:cs="Arial"/>
        </w:rPr>
        <w:t>.</w:t>
      </w:r>
    </w:p>
    <w:p w14:paraId="287C53E3" w14:textId="6AF332CE" w:rsidR="004D1F94" w:rsidRPr="00914268" w:rsidRDefault="004D1F94" w:rsidP="004640BB">
      <w:pPr>
        <w:spacing w:before="120" w:after="120"/>
        <w:jc w:val="both"/>
        <w:rPr>
          <w:rFonts w:ascii="Avenir Next LT Pro" w:hAnsi="Avenir Next LT Pro" w:cs="Arial"/>
        </w:rPr>
      </w:pPr>
      <w:r w:rsidRPr="00914268">
        <w:rPr>
          <w:rFonts w:ascii="Avenir Next LT Pro" w:hAnsi="Avenir Next LT Pro" w:cs="Arial"/>
        </w:rPr>
        <w:t>La contabilidad electrónica se presenta asociando las cuentas y subcuentas de la información contable de los contribuyentes, con el código agrupador de cuentas del SAT, que es el catálogo que contiene</w:t>
      </w:r>
      <w:r w:rsidRPr="00914268">
        <w:rPr>
          <w:rFonts w:ascii="Avenir Next LT Pro" w:hAnsi="Avenir Next LT Pro" w:cs="Arial"/>
          <w:color w:val="000000"/>
          <w:shd w:val="clear" w:color="auto" w:fill="FFFFFF"/>
        </w:rPr>
        <w:t xml:space="preserve"> las cuentas de nivel mayor y </w:t>
      </w:r>
      <w:r w:rsidR="001060BB">
        <w:rPr>
          <w:rFonts w:ascii="Avenir Next LT Pro" w:hAnsi="Avenir Next LT Pro" w:cs="Arial"/>
          <w:color w:val="000000"/>
          <w:shd w:val="clear" w:color="auto" w:fill="FFFFFF"/>
        </w:rPr>
        <w:t xml:space="preserve">la </w:t>
      </w:r>
      <w:r w:rsidRPr="00914268">
        <w:rPr>
          <w:rFonts w:ascii="Avenir Next LT Pro" w:hAnsi="Avenir Next LT Pro" w:cs="Arial"/>
          <w:color w:val="000000"/>
          <w:shd w:val="clear" w:color="auto" w:fill="FFFFFF"/>
        </w:rPr>
        <w:t>subcuenta de primer nivel, según el SAT.</w:t>
      </w:r>
    </w:p>
    <w:p w14:paraId="6DEF0A6A" w14:textId="0835FD62" w:rsidR="004D1F94" w:rsidRPr="00914268" w:rsidRDefault="004D1F94" w:rsidP="004640BB">
      <w:pPr>
        <w:spacing w:before="120" w:after="120"/>
        <w:jc w:val="both"/>
        <w:rPr>
          <w:rFonts w:ascii="Avenir Next LT Pro" w:hAnsi="Avenir Next LT Pro" w:cs="Arial"/>
        </w:rPr>
      </w:pPr>
      <w:r w:rsidRPr="00914268">
        <w:rPr>
          <w:rFonts w:ascii="Avenir Next LT Pro" w:hAnsi="Avenir Next LT Pro" w:cs="Arial"/>
        </w:rPr>
        <w:t xml:space="preserve">Resulta </w:t>
      </w:r>
      <w:r w:rsidRPr="00193A1F">
        <w:rPr>
          <w:rFonts w:ascii="Avenir Next LT Pro" w:hAnsi="Avenir Next LT Pro" w:cs="Arial"/>
          <w:b/>
          <w:bCs/>
        </w:rPr>
        <w:t>recomendable, previo al llenado de los estados financieros en la declaración anual, verificar y conciliar la información</w:t>
      </w:r>
      <w:r w:rsidRPr="00914268">
        <w:rPr>
          <w:rFonts w:ascii="Avenir Next LT Pro" w:hAnsi="Avenir Next LT Pro" w:cs="Arial"/>
        </w:rPr>
        <w:t xml:space="preserve"> </w:t>
      </w:r>
      <w:r w:rsidRPr="00193A1F">
        <w:rPr>
          <w:rFonts w:ascii="Avenir Next LT Pro" w:hAnsi="Avenir Next LT Pro" w:cs="Arial"/>
          <w:b/>
          <w:bCs/>
        </w:rPr>
        <w:t>que ya se envió al SAT</w:t>
      </w:r>
      <w:r w:rsidRPr="00914268">
        <w:rPr>
          <w:rFonts w:ascii="Avenir Next LT Pro" w:hAnsi="Avenir Next LT Pro" w:cs="Arial"/>
        </w:rPr>
        <w:t xml:space="preserve">, durante cada uno de los meses de 2021 y 2022, </w:t>
      </w:r>
      <w:r w:rsidR="00EC1DED">
        <w:rPr>
          <w:rFonts w:ascii="Avenir Next LT Pro" w:hAnsi="Avenir Next LT Pro" w:cs="Arial"/>
        </w:rPr>
        <w:t>mediante</w:t>
      </w:r>
      <w:r w:rsidRPr="00914268">
        <w:rPr>
          <w:rFonts w:ascii="Avenir Next LT Pro" w:hAnsi="Avenir Next LT Pro" w:cs="Arial"/>
        </w:rPr>
        <w:t xml:space="preserve"> la “contabilidad electrónica”, para no generar inconsistencias contra la información que se presentará en la declaración anual. </w:t>
      </w:r>
      <w:r w:rsidR="00506D37">
        <w:rPr>
          <w:rFonts w:ascii="Avenir Next LT Pro" w:hAnsi="Avenir Next LT Pro" w:cs="Arial"/>
        </w:rPr>
        <w:t>Lo anterior,</w:t>
      </w:r>
      <w:r w:rsidRPr="00914268">
        <w:rPr>
          <w:rFonts w:ascii="Avenir Next LT Pro" w:hAnsi="Avenir Next LT Pro" w:cs="Arial"/>
        </w:rPr>
        <w:t xml:space="preserve"> en consideración </w:t>
      </w:r>
      <w:r w:rsidR="00D42BC2">
        <w:rPr>
          <w:rFonts w:ascii="Avenir Next LT Pro" w:hAnsi="Avenir Next LT Pro" w:cs="Arial"/>
        </w:rPr>
        <w:t xml:space="preserve">de </w:t>
      </w:r>
      <w:r w:rsidRPr="00914268">
        <w:rPr>
          <w:rFonts w:ascii="Avenir Next LT Pro" w:hAnsi="Avenir Next LT Pro" w:cs="Arial"/>
        </w:rPr>
        <w:t>que algunas subcuentas y cuenta maestras contenidas dentro de la declaración anual, en algunos rubros son distintas a las contenidas el código agrupador de cuentas del SAT.</w:t>
      </w:r>
    </w:p>
    <w:p w14:paraId="6FEE9866" w14:textId="77777777" w:rsidR="003219D0" w:rsidRDefault="003219D0" w:rsidP="004640BB">
      <w:pPr>
        <w:tabs>
          <w:tab w:val="left" w:pos="2980"/>
        </w:tabs>
        <w:spacing w:before="240" w:after="120"/>
        <w:jc w:val="both"/>
        <w:rPr>
          <w:rFonts w:ascii="Avenir Next LT Pro" w:hAnsi="Avenir Next LT Pro"/>
          <w:b/>
        </w:rPr>
      </w:pPr>
    </w:p>
    <w:p w14:paraId="7BFE916B" w14:textId="77396542" w:rsidR="004D1F94" w:rsidRPr="00914268" w:rsidRDefault="004D1F94" w:rsidP="004640BB">
      <w:pPr>
        <w:tabs>
          <w:tab w:val="left" w:pos="2980"/>
        </w:tabs>
        <w:spacing w:before="240" w:after="120"/>
        <w:jc w:val="both"/>
        <w:rPr>
          <w:rFonts w:ascii="Avenir Next LT Pro" w:hAnsi="Avenir Next LT Pro"/>
        </w:rPr>
      </w:pPr>
      <w:r w:rsidRPr="00914268">
        <w:rPr>
          <w:rFonts w:ascii="Avenir Next LT Pro" w:hAnsi="Avenir Next LT Pro"/>
          <w:b/>
        </w:rPr>
        <w:lastRenderedPageBreak/>
        <w:t>Notas a los estados financieros</w:t>
      </w:r>
    </w:p>
    <w:p w14:paraId="701DBF96" w14:textId="46371BF7" w:rsidR="004D1F94" w:rsidRPr="00914268" w:rsidRDefault="004D1F94" w:rsidP="004640BB">
      <w:pPr>
        <w:spacing w:before="120" w:after="120"/>
        <w:jc w:val="both"/>
        <w:rPr>
          <w:rFonts w:ascii="Avenir Next LT Pro" w:hAnsi="Avenir Next LT Pro" w:cs="Arial"/>
          <w:bCs/>
        </w:rPr>
      </w:pPr>
      <w:r w:rsidRPr="00914268">
        <w:rPr>
          <w:rFonts w:ascii="Avenir Next LT Pro" w:hAnsi="Avenir Next LT Pro" w:cs="Arial"/>
          <w:bCs/>
        </w:rPr>
        <w:t xml:space="preserve">En el aplicativo de la declaración anual 2022, se adiciona un nuevo ícono denominado </w:t>
      </w:r>
      <w:r w:rsidRPr="00914268">
        <w:rPr>
          <w:rFonts w:ascii="Avenir Next LT Pro" w:hAnsi="Avenir Next LT Pro" w:cs="Arial"/>
          <w:b/>
          <w:bCs/>
        </w:rPr>
        <w:t>“notas”</w:t>
      </w:r>
      <w:r w:rsidRPr="00914268">
        <w:rPr>
          <w:rFonts w:ascii="Avenir Next LT Pro" w:hAnsi="Avenir Next LT Pro" w:cs="Arial"/>
          <w:bCs/>
        </w:rPr>
        <w:t xml:space="preserve">, para cada cuenta maestra de cada uno de los cuatro estados financieros. El documento “Guía de llenado Estados financieros básicos y la conciliación contable-fiscal” emitida por el SAT para la Declaración Anual de personas morales Régimen General y para RESICO, contempla que: </w:t>
      </w:r>
      <w:r w:rsidRPr="00914268">
        <w:rPr>
          <w:rFonts w:ascii="Avenir Next LT Pro" w:hAnsi="Avenir Next LT Pro"/>
          <w:i/>
        </w:rPr>
        <w:t xml:space="preserve">“En cada cuenta contable puedes realizar aclaraciones o precisiones al dar clic en el ícono de </w:t>
      </w:r>
      <w:r w:rsidR="005463C3">
        <w:rPr>
          <w:rFonts w:ascii="Avenir Next LT Pro" w:hAnsi="Avenir Next LT Pro"/>
          <w:i/>
        </w:rPr>
        <w:t>‘</w:t>
      </w:r>
      <w:r w:rsidRPr="00914268">
        <w:rPr>
          <w:rFonts w:ascii="Avenir Next LT Pro" w:hAnsi="Avenir Next LT Pro"/>
          <w:i/>
        </w:rPr>
        <w:t>Notas</w:t>
      </w:r>
      <w:r w:rsidR="005463C3">
        <w:rPr>
          <w:rFonts w:ascii="Avenir Next LT Pro" w:hAnsi="Avenir Next LT Pro"/>
          <w:i/>
        </w:rPr>
        <w:t>’</w:t>
      </w:r>
      <w:r w:rsidRPr="00914268">
        <w:rPr>
          <w:rFonts w:ascii="Avenir Next LT Pro" w:hAnsi="Avenir Next LT Pro"/>
          <w:i/>
        </w:rPr>
        <w:t>”.</w:t>
      </w:r>
    </w:p>
    <w:p w14:paraId="404BD84D" w14:textId="2F5971F9" w:rsidR="004D1F94" w:rsidRPr="00914268" w:rsidRDefault="004D1F94" w:rsidP="004640BB">
      <w:pPr>
        <w:spacing w:before="120" w:after="120"/>
        <w:jc w:val="both"/>
        <w:rPr>
          <w:rFonts w:ascii="Avenir Next LT Pro" w:hAnsi="Avenir Next LT Pro" w:cs="Arial"/>
          <w:bCs/>
        </w:rPr>
      </w:pPr>
      <w:r w:rsidRPr="00914268">
        <w:rPr>
          <w:rFonts w:ascii="Avenir Next LT Pro" w:hAnsi="Avenir Next LT Pro" w:cs="Arial"/>
          <w:color w:val="000000"/>
        </w:rPr>
        <w:t>Se puede concluir que su llenado es de carácter opcional, sin embargo, resulta necesario que la autoridad así lo dé a conocer y especifique qu</w:t>
      </w:r>
      <w:r w:rsidR="005463C3">
        <w:rPr>
          <w:rFonts w:ascii="Avenir Next LT Pro" w:hAnsi="Avenir Next LT Pro" w:cs="Arial"/>
          <w:color w:val="000000"/>
        </w:rPr>
        <w:t>é</w:t>
      </w:r>
      <w:r w:rsidRPr="00914268">
        <w:rPr>
          <w:rFonts w:ascii="Avenir Next LT Pro" w:hAnsi="Avenir Next LT Pro" w:cs="Arial"/>
          <w:color w:val="000000"/>
        </w:rPr>
        <w:t xml:space="preserve"> tipo o alcance de información es la que se p</w:t>
      </w:r>
      <w:r w:rsidR="00D810BB">
        <w:rPr>
          <w:rFonts w:ascii="Avenir Next LT Pro" w:hAnsi="Avenir Next LT Pro" w:cs="Arial"/>
          <w:color w:val="000000"/>
        </w:rPr>
        <w:t>o</w:t>
      </w:r>
      <w:r w:rsidRPr="00914268">
        <w:rPr>
          <w:rFonts w:ascii="Avenir Next LT Pro" w:hAnsi="Avenir Next LT Pro" w:cs="Arial"/>
          <w:color w:val="000000"/>
        </w:rPr>
        <w:t>dr</w:t>
      </w:r>
      <w:r w:rsidR="00D810BB">
        <w:rPr>
          <w:rFonts w:ascii="Avenir Next LT Pro" w:hAnsi="Avenir Next LT Pro" w:cs="Arial"/>
          <w:color w:val="000000"/>
        </w:rPr>
        <w:t>í</w:t>
      </w:r>
      <w:r w:rsidRPr="00914268">
        <w:rPr>
          <w:rFonts w:ascii="Avenir Next LT Pro" w:hAnsi="Avenir Next LT Pro" w:cs="Arial"/>
          <w:color w:val="000000"/>
        </w:rPr>
        <w:t>a incluir en estas notas. De igual manera</w:t>
      </w:r>
      <w:r w:rsidR="003219D0">
        <w:rPr>
          <w:rFonts w:ascii="Avenir Next LT Pro" w:hAnsi="Avenir Next LT Pro" w:cs="Arial"/>
          <w:color w:val="000000"/>
        </w:rPr>
        <w:t>,</w:t>
      </w:r>
      <w:r w:rsidRPr="00914268">
        <w:rPr>
          <w:rFonts w:ascii="Avenir Next LT Pro" w:hAnsi="Avenir Next LT Pro" w:cs="Arial"/>
          <w:color w:val="000000"/>
        </w:rPr>
        <w:t xml:space="preserve"> s</w:t>
      </w:r>
      <w:r w:rsidRPr="00914268">
        <w:rPr>
          <w:rFonts w:ascii="Avenir Next LT Pro" w:hAnsi="Avenir Next LT Pro" w:cs="Arial"/>
          <w:bCs/>
        </w:rPr>
        <w:t xml:space="preserve">e ha presentado formalmente al SAT esta solicitud, </w:t>
      </w:r>
      <w:r w:rsidR="00D810BB">
        <w:rPr>
          <w:rFonts w:ascii="Avenir Next LT Pro" w:hAnsi="Avenir Next LT Pro" w:cs="Arial"/>
          <w:bCs/>
        </w:rPr>
        <w:t>por medio</w:t>
      </w:r>
      <w:r w:rsidRPr="00914268">
        <w:rPr>
          <w:rFonts w:ascii="Avenir Next LT Pro" w:hAnsi="Avenir Next LT Pro" w:cs="Arial"/>
          <w:bCs/>
        </w:rPr>
        <w:t xml:space="preserve"> de la Comisión Nacional de Síndicos del IMCP.</w:t>
      </w:r>
    </w:p>
    <w:p w14:paraId="32151F60" w14:textId="77777777" w:rsidR="004D1F94" w:rsidRPr="00914268" w:rsidRDefault="004D1F94" w:rsidP="004640BB">
      <w:pPr>
        <w:spacing w:before="240" w:after="120"/>
        <w:rPr>
          <w:rFonts w:ascii="Avenir Next LT Pro" w:hAnsi="Avenir Next LT Pro"/>
          <w:b/>
        </w:rPr>
      </w:pPr>
      <w:r w:rsidRPr="00914268">
        <w:rPr>
          <w:rFonts w:ascii="Avenir Next LT Pro" w:hAnsi="Avenir Next LT Pro"/>
          <w:b/>
        </w:rPr>
        <w:t>Plazo de vencimiento de cancelación de CFDI</w:t>
      </w:r>
    </w:p>
    <w:p w14:paraId="6F617B5E" w14:textId="060F573B" w:rsidR="004D1F94" w:rsidRPr="00914268" w:rsidRDefault="004D1F94" w:rsidP="004640BB">
      <w:pPr>
        <w:spacing w:before="120" w:after="120"/>
        <w:jc w:val="both"/>
        <w:rPr>
          <w:rFonts w:ascii="Avenir Next LT Pro" w:hAnsi="Avenir Next LT Pro"/>
          <w:bCs/>
          <w:color w:val="202020"/>
        </w:rPr>
      </w:pPr>
      <w:r w:rsidRPr="00914268">
        <w:rPr>
          <w:rFonts w:ascii="Avenir Next LT Pro" w:hAnsi="Avenir Next LT Pro"/>
          <w:color w:val="202020"/>
        </w:rPr>
        <w:t xml:space="preserve">A partir de 2022, los CFDI solo podrán cancelarse en el ejercicio en que se expidan, sin embargo, </w:t>
      </w:r>
      <w:r w:rsidR="002D18B6">
        <w:rPr>
          <w:rFonts w:ascii="Avenir Next LT Pro" w:hAnsi="Avenir Next LT Pro"/>
          <w:color w:val="202020"/>
        </w:rPr>
        <w:t>por medio</w:t>
      </w:r>
      <w:r w:rsidRPr="00914268">
        <w:rPr>
          <w:rFonts w:ascii="Avenir Next LT Pro" w:hAnsi="Avenir Next LT Pro"/>
          <w:color w:val="202020"/>
        </w:rPr>
        <w:t xml:space="preserve"> de reglas de carácter general, el SAT adicionó la facilidad para que la cancelación pueda efectuarse a más tardar</w:t>
      </w:r>
      <w:r w:rsidR="004640BB">
        <w:rPr>
          <w:rFonts w:ascii="Avenir Next LT Pro" w:hAnsi="Avenir Next LT Pro"/>
          <w:color w:val="202020"/>
        </w:rPr>
        <w:t xml:space="preserve"> </w:t>
      </w:r>
      <w:r w:rsidRPr="00914268">
        <w:rPr>
          <w:rFonts w:ascii="Avenir Next LT Pro" w:hAnsi="Avenir Next LT Pro"/>
          <w:b/>
          <w:bCs/>
          <w:color w:val="202020"/>
        </w:rPr>
        <w:t>en</w:t>
      </w:r>
      <w:r w:rsidR="009B7976">
        <w:rPr>
          <w:rFonts w:ascii="Avenir Next LT Pro" w:hAnsi="Avenir Next LT Pro"/>
          <w:b/>
          <w:bCs/>
          <w:color w:val="202020"/>
        </w:rPr>
        <w:t xml:space="preserve"> </w:t>
      </w:r>
      <w:r w:rsidRPr="00914268">
        <w:rPr>
          <w:rFonts w:ascii="Avenir Next LT Pro" w:hAnsi="Avenir Next LT Pro"/>
          <w:b/>
          <w:bCs/>
          <w:color w:val="202020"/>
        </w:rPr>
        <w:t>el</w:t>
      </w:r>
      <w:r w:rsidR="009B7976">
        <w:rPr>
          <w:rFonts w:ascii="Avenir Next LT Pro" w:hAnsi="Avenir Next LT Pro"/>
          <w:b/>
          <w:bCs/>
          <w:color w:val="202020"/>
        </w:rPr>
        <w:t xml:space="preserve"> </w:t>
      </w:r>
      <w:r w:rsidRPr="00914268">
        <w:rPr>
          <w:rFonts w:ascii="Avenir Next LT Pro" w:hAnsi="Avenir Next LT Pro"/>
          <w:b/>
          <w:bCs/>
          <w:color w:val="202020"/>
        </w:rPr>
        <w:t>mes en el cual se deba presentar la declaración anual del ISR</w:t>
      </w:r>
      <w:r w:rsidRPr="00914268">
        <w:rPr>
          <w:rFonts w:ascii="Avenir Next LT Pro" w:hAnsi="Avenir Next LT Pro"/>
          <w:color w:val="202020"/>
        </w:rPr>
        <w:t xml:space="preserve">. Es recomendable que los contribuyentes tomen en cuenta este plazo de vencimiento para efectuar sus cancelaciones en tiempo y forma, </w:t>
      </w:r>
      <w:r w:rsidR="00EE2033">
        <w:rPr>
          <w:rFonts w:ascii="Avenir Next LT Pro" w:hAnsi="Avenir Next LT Pro"/>
          <w:color w:val="202020"/>
        </w:rPr>
        <w:t>para</w:t>
      </w:r>
      <w:r w:rsidRPr="00914268">
        <w:rPr>
          <w:rFonts w:ascii="Avenir Next LT Pro" w:hAnsi="Avenir Next LT Pro"/>
          <w:color w:val="202020"/>
        </w:rPr>
        <w:t xml:space="preserve"> evitar la sanción </w:t>
      </w:r>
      <w:r w:rsidR="00F06AD7" w:rsidRPr="00914268">
        <w:rPr>
          <w:rFonts w:ascii="Avenir Next LT Pro" w:hAnsi="Avenir Next LT Pro"/>
          <w:color w:val="202020"/>
        </w:rPr>
        <w:t>de la multa</w:t>
      </w:r>
      <w:r w:rsidRPr="00914268">
        <w:rPr>
          <w:rFonts w:ascii="Avenir Next LT Pro" w:hAnsi="Avenir Next LT Pro"/>
          <w:color w:val="202020"/>
        </w:rPr>
        <w:t xml:space="preserve"> de 5 a 10 % del monto del CFDI, por no cancelar </w:t>
      </w:r>
      <w:r w:rsidRPr="00914268">
        <w:rPr>
          <w:rFonts w:ascii="Avenir Next LT Pro" w:hAnsi="Avenir Next LT Pro"/>
          <w:b/>
          <w:bCs/>
          <w:color w:val="202020"/>
        </w:rPr>
        <w:t xml:space="preserve">CFDI de ingresos </w:t>
      </w:r>
      <w:r w:rsidRPr="00914268">
        <w:rPr>
          <w:rFonts w:ascii="Avenir Next LT Pro" w:hAnsi="Avenir Next LT Pro"/>
          <w:color w:val="202020"/>
        </w:rPr>
        <w:t xml:space="preserve">cuando se hayan emitido por error o </w:t>
      </w:r>
      <w:r w:rsidRPr="00914268">
        <w:rPr>
          <w:rFonts w:ascii="Avenir Next LT Pro" w:hAnsi="Avenir Next LT Pro"/>
          <w:b/>
          <w:bCs/>
          <w:color w:val="202020"/>
        </w:rPr>
        <w:t>cancelarlos fuera del plazo</w:t>
      </w:r>
      <w:r w:rsidR="0057606C">
        <w:rPr>
          <w:rFonts w:ascii="Avenir Next LT Pro" w:hAnsi="Avenir Next LT Pro"/>
          <w:bCs/>
          <w:color w:val="202020"/>
        </w:rPr>
        <w:t>;</w:t>
      </w:r>
      <w:r w:rsidRPr="00914268">
        <w:rPr>
          <w:rFonts w:ascii="Avenir Next LT Pro" w:hAnsi="Avenir Next LT Pro"/>
          <w:bCs/>
          <w:color w:val="202020"/>
        </w:rPr>
        <w:t xml:space="preserve"> </w:t>
      </w:r>
      <w:r w:rsidR="0057606C">
        <w:rPr>
          <w:rFonts w:ascii="Avenir Next LT Pro" w:hAnsi="Avenir Next LT Pro"/>
          <w:bCs/>
          <w:color w:val="202020"/>
        </w:rPr>
        <w:t xml:space="preserve">asimismo, se debe recordar </w:t>
      </w:r>
      <w:r w:rsidRPr="00914268">
        <w:rPr>
          <w:rFonts w:ascii="Avenir Next LT Pro" w:hAnsi="Avenir Next LT Pro"/>
          <w:bCs/>
          <w:color w:val="202020"/>
        </w:rPr>
        <w:t xml:space="preserve">que ya se eliminó la facilidad para cancelar CFDI del ejercicio 2021 y anteriores. La declaración anual de personas morales 2022 se debe presentar a más tardar el 3 de abril de 2023, por lo que es importante el pronunciamiento por parte de la autoridad para que el plazo de cancelación de </w:t>
      </w:r>
      <w:r w:rsidR="0047173D" w:rsidRPr="00914268">
        <w:rPr>
          <w:rFonts w:ascii="Avenir Next LT Pro" w:hAnsi="Avenir Next LT Pro"/>
          <w:bCs/>
          <w:color w:val="202020"/>
        </w:rPr>
        <w:t xml:space="preserve">CFDI </w:t>
      </w:r>
      <w:r w:rsidRPr="00914268">
        <w:rPr>
          <w:rFonts w:ascii="Avenir Next LT Pro" w:hAnsi="Avenir Next LT Pro"/>
          <w:bCs/>
          <w:color w:val="202020"/>
        </w:rPr>
        <w:t>de 2022, igualmente se extienda al mes de abril para las personas morales y mayo para las personas físicas.</w:t>
      </w:r>
    </w:p>
    <w:p w14:paraId="2540F0E7" w14:textId="77777777" w:rsidR="004D1F94" w:rsidRPr="00914268" w:rsidRDefault="004D1F94" w:rsidP="004640BB">
      <w:pPr>
        <w:spacing w:before="240" w:after="120"/>
        <w:rPr>
          <w:rFonts w:ascii="Avenir Next LT Pro" w:hAnsi="Avenir Next LT Pro"/>
          <w:b/>
        </w:rPr>
      </w:pPr>
      <w:r w:rsidRPr="00914268">
        <w:rPr>
          <w:rFonts w:ascii="Avenir Next LT Pro" w:hAnsi="Avenir Next LT Pro"/>
          <w:b/>
        </w:rPr>
        <w:t>Compensación en la declaración anual</w:t>
      </w:r>
    </w:p>
    <w:p w14:paraId="4766866A" w14:textId="0162AF96" w:rsidR="004D1F94" w:rsidRPr="00914268" w:rsidRDefault="004D1F94" w:rsidP="004640BB">
      <w:pPr>
        <w:spacing w:before="120" w:after="120"/>
        <w:jc w:val="both"/>
        <w:rPr>
          <w:rFonts w:ascii="Avenir Next LT Pro" w:hAnsi="Avenir Next LT Pro" w:cs="Arial"/>
          <w:color w:val="202124"/>
          <w:shd w:val="clear" w:color="auto" w:fill="FFFFFF"/>
        </w:rPr>
      </w:pPr>
      <w:r w:rsidRPr="00914268">
        <w:rPr>
          <w:rFonts w:ascii="Avenir Next LT Pro" w:hAnsi="Avenir Next LT Pro" w:cs="Arial"/>
          <w:color w:val="202124"/>
          <w:shd w:val="clear" w:color="auto" w:fill="FFFFFF"/>
        </w:rPr>
        <w:t xml:space="preserve">Desde 2019 se eliminó la </w:t>
      </w:r>
      <w:r w:rsidRPr="00914268">
        <w:rPr>
          <w:rFonts w:ascii="Avenir Next LT Pro" w:hAnsi="Avenir Next LT Pro" w:cs="Arial"/>
          <w:b/>
          <w:color w:val="202124"/>
          <w:shd w:val="clear" w:color="auto" w:fill="FFFFFF"/>
        </w:rPr>
        <w:t>“compensación universal”</w:t>
      </w:r>
      <w:r w:rsidRPr="00914268">
        <w:rPr>
          <w:rFonts w:ascii="Avenir Next LT Pro" w:hAnsi="Avenir Next LT Pro" w:cs="Arial"/>
          <w:color w:val="202124"/>
          <w:shd w:val="clear" w:color="auto" w:fill="FFFFFF"/>
        </w:rPr>
        <w:t xml:space="preserve">, por lo que, actualmente </w:t>
      </w:r>
      <w:r w:rsidRPr="00914268">
        <w:rPr>
          <w:rFonts w:ascii="Avenir Next LT Pro" w:hAnsi="Avenir Next LT Pro" w:cs="Arial"/>
          <w:color w:val="000000"/>
          <w:lang w:eastAsia="es-MX"/>
        </w:rPr>
        <w:t xml:space="preserve">el </w:t>
      </w:r>
      <w:r w:rsidR="009C0D89">
        <w:rPr>
          <w:rFonts w:ascii="Avenir Next LT Pro" w:hAnsi="Avenir Next LT Pro" w:cs="Arial"/>
          <w:color w:val="000000"/>
          <w:lang w:eastAsia="es-MX"/>
        </w:rPr>
        <w:t>a</w:t>
      </w:r>
      <w:r w:rsidRPr="00914268">
        <w:rPr>
          <w:rFonts w:ascii="Avenir Next LT Pro" w:hAnsi="Avenir Next LT Pro" w:cs="Arial"/>
          <w:color w:val="000000"/>
          <w:lang w:eastAsia="es-MX"/>
        </w:rPr>
        <w:t xml:space="preserve">rtículo 23 del </w:t>
      </w:r>
      <w:r w:rsidR="006B34A1">
        <w:rPr>
          <w:rFonts w:ascii="Avenir Next LT Pro" w:hAnsi="Avenir Next LT Pro" w:cs="Arial"/>
          <w:color w:val="000000"/>
          <w:lang w:eastAsia="es-MX"/>
        </w:rPr>
        <w:t>Código Fiscal de la Federación (</w:t>
      </w:r>
      <w:r w:rsidRPr="00914268">
        <w:rPr>
          <w:rFonts w:ascii="Avenir Next LT Pro" w:hAnsi="Avenir Next LT Pro" w:cs="Arial"/>
          <w:color w:val="000000"/>
          <w:lang w:eastAsia="es-MX"/>
        </w:rPr>
        <w:t>CFF</w:t>
      </w:r>
      <w:r w:rsidR="006B34A1">
        <w:rPr>
          <w:rFonts w:ascii="Avenir Next LT Pro" w:hAnsi="Avenir Next LT Pro" w:cs="Arial"/>
          <w:color w:val="000000"/>
          <w:lang w:eastAsia="es-MX"/>
        </w:rPr>
        <w:t>)</w:t>
      </w:r>
      <w:r w:rsidRPr="00914268">
        <w:rPr>
          <w:rFonts w:ascii="Avenir Next LT Pro" w:hAnsi="Avenir Next LT Pro" w:cs="Arial"/>
          <w:color w:val="000000"/>
          <w:lang w:eastAsia="es-MX"/>
        </w:rPr>
        <w:t xml:space="preserve"> establece que, los contribuyentes podrán optar por compensar las </w:t>
      </w:r>
      <w:r w:rsidRPr="00914268">
        <w:rPr>
          <w:rFonts w:ascii="Avenir Next LT Pro" w:hAnsi="Avenir Next LT Pro" w:cs="Arial"/>
          <w:b/>
          <w:bCs/>
          <w:color w:val="000000"/>
          <w:lang w:eastAsia="es-MX"/>
        </w:rPr>
        <w:t>cantidades que tengan a su favor</w:t>
      </w:r>
      <w:r w:rsidRPr="00914268">
        <w:rPr>
          <w:rFonts w:ascii="Avenir Next LT Pro" w:hAnsi="Avenir Next LT Pro" w:cs="Arial"/>
          <w:color w:val="000000"/>
          <w:lang w:eastAsia="es-MX"/>
        </w:rPr>
        <w:t xml:space="preserve"> contra las que estén obligados a pagar por adeudo propio, siempre que ambas deriven de un mismo impuesto.</w:t>
      </w:r>
    </w:p>
    <w:p w14:paraId="433F68B3" w14:textId="77777777" w:rsidR="004D1F94" w:rsidRPr="00914268" w:rsidRDefault="004D1F94" w:rsidP="004640BB">
      <w:pPr>
        <w:spacing w:before="120" w:after="120"/>
        <w:jc w:val="both"/>
        <w:rPr>
          <w:rFonts w:ascii="Avenir Next LT Pro" w:hAnsi="Avenir Next LT Pro"/>
          <w:lang w:eastAsia="es-MX"/>
        </w:rPr>
      </w:pPr>
      <w:r w:rsidRPr="00914268">
        <w:rPr>
          <w:rFonts w:ascii="Avenir Next LT Pro" w:hAnsi="Avenir Next LT Pro" w:cs="Arial"/>
          <w:color w:val="000000"/>
          <w:lang w:eastAsia="es-MX"/>
        </w:rPr>
        <w:t xml:space="preserve">Cuando se señala el término </w:t>
      </w:r>
      <w:r w:rsidRPr="00914268">
        <w:rPr>
          <w:rFonts w:ascii="Avenir Next LT Pro" w:hAnsi="Avenir Next LT Pro" w:cs="Arial"/>
          <w:b/>
          <w:bCs/>
          <w:color w:val="000000"/>
          <w:lang w:eastAsia="es-MX"/>
        </w:rPr>
        <w:t>“cantidades que tengan a su favor”</w:t>
      </w:r>
      <w:r w:rsidRPr="00914268">
        <w:rPr>
          <w:rFonts w:ascii="Avenir Next LT Pro" w:hAnsi="Avenir Next LT Pro" w:cs="Arial"/>
          <w:color w:val="000000"/>
          <w:lang w:eastAsia="es-MX"/>
        </w:rPr>
        <w:t xml:space="preserve">, son las que pueden generarse, ya sea por </w:t>
      </w:r>
      <w:r w:rsidRPr="00914268">
        <w:rPr>
          <w:rFonts w:ascii="Avenir Next LT Pro" w:hAnsi="Avenir Next LT Pro" w:cs="Arial"/>
          <w:b/>
          <w:bCs/>
          <w:color w:val="000000"/>
          <w:lang w:eastAsia="es-MX"/>
        </w:rPr>
        <w:t>saldos a favor</w:t>
      </w:r>
      <w:r w:rsidRPr="00914268">
        <w:rPr>
          <w:rFonts w:ascii="Avenir Next LT Pro" w:hAnsi="Avenir Next LT Pro" w:cs="Arial"/>
          <w:color w:val="000000"/>
          <w:lang w:eastAsia="es-MX"/>
        </w:rPr>
        <w:t xml:space="preserve"> o </w:t>
      </w:r>
      <w:r w:rsidRPr="00914268">
        <w:rPr>
          <w:rFonts w:ascii="Avenir Next LT Pro" w:hAnsi="Avenir Next LT Pro" w:cs="Arial"/>
          <w:b/>
          <w:bCs/>
          <w:color w:val="000000"/>
          <w:lang w:eastAsia="es-MX"/>
        </w:rPr>
        <w:t>pago de lo indebido</w:t>
      </w:r>
      <w:r w:rsidRPr="00914268">
        <w:rPr>
          <w:rFonts w:ascii="Avenir Next LT Pro" w:hAnsi="Avenir Next LT Pro" w:cs="Arial"/>
          <w:color w:val="000000"/>
          <w:lang w:eastAsia="es-MX"/>
        </w:rPr>
        <w:t>.</w:t>
      </w:r>
    </w:p>
    <w:p w14:paraId="0F7CA829" w14:textId="3EB09AB7" w:rsidR="004D1F94" w:rsidRPr="00914268" w:rsidRDefault="00433087" w:rsidP="004640BB">
      <w:pPr>
        <w:spacing w:before="120" w:after="120"/>
        <w:jc w:val="both"/>
        <w:rPr>
          <w:rFonts w:ascii="Avenir Next LT Pro" w:hAnsi="Avenir Next LT Pro" w:cs="Arial"/>
          <w:bCs/>
          <w:iCs/>
          <w:color w:val="000000"/>
          <w:lang w:eastAsia="es-MX"/>
        </w:rPr>
      </w:pPr>
      <w:r w:rsidRPr="00914268">
        <w:rPr>
          <w:rFonts w:ascii="Avenir Next LT Pro" w:hAnsi="Avenir Next LT Pro" w:cs="Arial"/>
          <w:bCs/>
          <w:iCs/>
          <w:color w:val="000000"/>
          <w:lang w:eastAsia="es-MX"/>
        </w:rPr>
        <w:t>Además,</w:t>
      </w:r>
      <w:r w:rsidR="004D1F94" w:rsidRPr="00914268">
        <w:rPr>
          <w:rFonts w:ascii="Avenir Next LT Pro" w:hAnsi="Avenir Next LT Pro" w:cs="Arial"/>
          <w:bCs/>
          <w:iCs/>
          <w:color w:val="000000"/>
          <w:lang w:eastAsia="es-MX"/>
        </w:rPr>
        <w:t xml:space="preserve"> los contribuyentes que tengan cantidades a favor generadas al 31 de diciembre de 2018, pueden optar por compensarlas contra cantidades a cargo por adeudo propio, de impuestos distintos. Por lo que, en caso de existir impuesto a cargo en la declaración anual, existe la posibilidad efectuar su pago mediante compensación de saldos a favor de </w:t>
      </w:r>
      <w:r w:rsidR="00B46280" w:rsidRPr="00914268">
        <w:rPr>
          <w:rFonts w:ascii="Avenir Next LT Pro" w:hAnsi="Avenir Next LT Pro" w:cs="Arial"/>
          <w:bCs/>
          <w:iCs/>
          <w:color w:val="000000"/>
          <w:lang w:eastAsia="es-MX"/>
        </w:rPr>
        <w:t>IVA generados</w:t>
      </w:r>
      <w:r w:rsidR="004D1F94" w:rsidRPr="00914268">
        <w:rPr>
          <w:rFonts w:ascii="Avenir Next LT Pro" w:hAnsi="Avenir Next LT Pro" w:cs="Arial"/>
          <w:bCs/>
          <w:iCs/>
          <w:color w:val="000000"/>
          <w:lang w:eastAsia="es-MX"/>
        </w:rPr>
        <w:t xml:space="preserve"> hasta el 31 de diciembre de 2018. Y también existe la posibilidad de cubrir el impuesto a cargo de la declaración anual 2022, con cantidades generadas a favor por el pago de lo indebido provenientes de las retenciones del ISR. Mencionando </w:t>
      </w:r>
      <w:r w:rsidR="004D1F94" w:rsidRPr="00914268">
        <w:rPr>
          <w:rFonts w:ascii="Avenir Next LT Pro" w:hAnsi="Avenir Next LT Pro" w:cs="Arial"/>
          <w:bCs/>
          <w:iCs/>
          <w:color w:val="000000"/>
          <w:lang w:eastAsia="es-MX"/>
        </w:rPr>
        <w:lastRenderedPageBreak/>
        <w:t>que</w:t>
      </w:r>
      <w:r w:rsidR="00C44E08">
        <w:rPr>
          <w:rFonts w:ascii="Avenir Next LT Pro" w:hAnsi="Avenir Next LT Pro" w:cs="Arial"/>
          <w:bCs/>
          <w:iCs/>
          <w:color w:val="000000"/>
          <w:lang w:eastAsia="es-MX"/>
        </w:rPr>
        <w:t>,</w:t>
      </w:r>
      <w:r w:rsidR="004D1F94" w:rsidRPr="00914268">
        <w:rPr>
          <w:rFonts w:ascii="Avenir Next LT Pro" w:hAnsi="Avenir Next LT Pro" w:cs="Arial"/>
          <w:bCs/>
          <w:iCs/>
          <w:color w:val="000000"/>
          <w:lang w:eastAsia="es-MX"/>
        </w:rPr>
        <w:t xml:space="preserve"> en el aplicativo de la declaración anual 2022</w:t>
      </w:r>
      <w:r w:rsidR="00C44E08">
        <w:rPr>
          <w:rFonts w:ascii="Avenir Next LT Pro" w:hAnsi="Avenir Next LT Pro" w:cs="Arial"/>
          <w:bCs/>
          <w:iCs/>
          <w:color w:val="000000"/>
          <w:lang w:eastAsia="es-MX"/>
        </w:rPr>
        <w:t>,</w:t>
      </w:r>
      <w:r w:rsidR="004D1F94" w:rsidRPr="00914268">
        <w:rPr>
          <w:rFonts w:ascii="Avenir Next LT Pro" w:hAnsi="Avenir Next LT Pro" w:cs="Arial"/>
          <w:bCs/>
          <w:iCs/>
          <w:color w:val="000000"/>
          <w:lang w:eastAsia="es-MX"/>
        </w:rPr>
        <w:t xml:space="preserve"> ya contempla</w:t>
      </w:r>
      <w:r w:rsidR="00C44E08">
        <w:rPr>
          <w:rFonts w:ascii="Avenir Next LT Pro" w:hAnsi="Avenir Next LT Pro" w:cs="Arial"/>
          <w:bCs/>
          <w:iCs/>
          <w:color w:val="000000"/>
          <w:lang w:eastAsia="es-MX"/>
        </w:rPr>
        <w:t>n</w:t>
      </w:r>
      <w:r w:rsidR="004D1F94" w:rsidRPr="00914268">
        <w:rPr>
          <w:rFonts w:ascii="Avenir Next LT Pro" w:hAnsi="Avenir Next LT Pro" w:cs="Arial"/>
          <w:bCs/>
          <w:iCs/>
          <w:color w:val="000000"/>
          <w:lang w:eastAsia="es-MX"/>
        </w:rPr>
        <w:t xml:space="preserve"> estas opciones de pago.</w:t>
      </w:r>
    </w:p>
    <w:p w14:paraId="48B44E1C" w14:textId="62DC8B96" w:rsidR="004D1F94" w:rsidRPr="00914268" w:rsidRDefault="004D1F94" w:rsidP="00914268">
      <w:pPr>
        <w:spacing w:before="120" w:after="240"/>
        <w:rPr>
          <w:rFonts w:ascii="Avenir Next LT Pro" w:hAnsi="Avenir Next LT Pro"/>
          <w:b/>
        </w:rPr>
      </w:pPr>
      <w:r w:rsidRPr="00914268">
        <w:rPr>
          <w:rFonts w:ascii="Avenir Next LT Pro" w:hAnsi="Avenir Next LT Pro"/>
          <w:b/>
        </w:rPr>
        <w:t>Presentación de la Información de la Situación Fiscal</w:t>
      </w:r>
      <w:r w:rsidR="00914268" w:rsidRPr="00914268">
        <w:rPr>
          <w:rFonts w:ascii="Avenir Next LT Pro" w:hAnsi="Avenir Next LT Pro"/>
          <w:b/>
        </w:rPr>
        <w:t xml:space="preserve"> </w:t>
      </w:r>
      <w:r w:rsidRPr="00914268">
        <w:rPr>
          <w:rFonts w:ascii="Avenir Next LT Pro" w:hAnsi="Avenir Next LT Pro"/>
          <w:b/>
        </w:rPr>
        <w:t>(ISSIF)</w:t>
      </w:r>
    </w:p>
    <w:p w14:paraId="48256F59" w14:textId="6A0472FE" w:rsidR="004D1F94" w:rsidRPr="00914268" w:rsidRDefault="004D1F94" w:rsidP="00914268">
      <w:pPr>
        <w:spacing w:before="120" w:after="240"/>
        <w:jc w:val="both"/>
        <w:rPr>
          <w:rFonts w:ascii="Avenir Next LT Pro" w:eastAsia="Times New Roman" w:hAnsi="Avenir Next LT Pro" w:cs="Arial"/>
          <w:color w:val="000000"/>
          <w:shd w:val="clear" w:color="auto" w:fill="FFFFFF"/>
          <w:lang w:eastAsia="es-ES"/>
        </w:rPr>
      </w:pPr>
      <w:r w:rsidRPr="00914268">
        <w:rPr>
          <w:rFonts w:ascii="Avenir Next LT Pro" w:eastAsia="Times New Roman" w:hAnsi="Avenir Next LT Pro" w:cs="Arial"/>
          <w:color w:val="000000"/>
          <w:shd w:val="clear" w:color="auto" w:fill="FFFFFF"/>
          <w:lang w:eastAsia="es-ES"/>
        </w:rPr>
        <w:t xml:space="preserve">Existen contribuyentes con base en sus ingresos, que se encuentran obligados a presentar dictamen fiscal, y esto deriva </w:t>
      </w:r>
      <w:r w:rsidRPr="00914268">
        <w:rPr>
          <w:rFonts w:ascii="Avenir Next LT Pro" w:eastAsia="Times New Roman" w:hAnsi="Avenir Next LT Pro" w:cs="Arial"/>
          <w:color w:val="000000"/>
          <w:lang w:eastAsia="es-ES"/>
        </w:rPr>
        <w:t xml:space="preserve">en la obligación de presentar </w:t>
      </w:r>
      <w:r w:rsidR="00762122">
        <w:rPr>
          <w:rFonts w:ascii="Avenir Next LT Pro" w:eastAsia="Times New Roman" w:hAnsi="Avenir Next LT Pro" w:cs="Arial"/>
          <w:color w:val="000000"/>
          <w:lang w:eastAsia="es-ES"/>
        </w:rPr>
        <w:t>la</w:t>
      </w:r>
      <w:r w:rsidRPr="00914268">
        <w:rPr>
          <w:rFonts w:ascii="Avenir Next LT Pro" w:eastAsia="Times New Roman" w:hAnsi="Avenir Next LT Pro" w:cs="Arial"/>
          <w:color w:val="000000"/>
          <w:lang w:eastAsia="es-ES"/>
        </w:rPr>
        <w:t xml:space="preserve"> ISSIF para </w:t>
      </w:r>
      <w:r w:rsidRPr="00914268">
        <w:rPr>
          <w:rFonts w:ascii="Avenir Next LT Pro" w:eastAsia="Times New Roman" w:hAnsi="Avenir Next LT Pro" w:cs="Arial"/>
          <w:lang w:eastAsia="es-ES"/>
        </w:rPr>
        <w:t>los contribuyentes que sean partes relacionadas de los obligados a dictaminarse</w:t>
      </w:r>
      <w:r w:rsidR="00EA71D3">
        <w:rPr>
          <w:rFonts w:ascii="Avenir Next LT Pro" w:eastAsia="Times New Roman" w:hAnsi="Avenir Next LT Pro" w:cs="Arial"/>
          <w:lang w:eastAsia="es-ES"/>
        </w:rPr>
        <w:t>;</w:t>
      </w:r>
      <w:r w:rsidRPr="00914268">
        <w:rPr>
          <w:rFonts w:ascii="Avenir Next LT Pro" w:eastAsia="Times New Roman" w:hAnsi="Avenir Next LT Pro" w:cs="Arial"/>
          <w:color w:val="000000"/>
          <w:lang w:eastAsia="es-ES"/>
        </w:rPr>
        <w:t xml:space="preserve"> para esto</w:t>
      </w:r>
      <w:r w:rsidR="009C1EE0">
        <w:rPr>
          <w:rFonts w:ascii="Avenir Next LT Pro" w:eastAsia="Times New Roman" w:hAnsi="Avenir Next LT Pro" w:cs="Arial"/>
          <w:color w:val="000000"/>
          <w:lang w:eastAsia="es-ES"/>
        </w:rPr>
        <w:t>,</w:t>
      </w:r>
      <w:r w:rsidRPr="00914268">
        <w:rPr>
          <w:rFonts w:ascii="Avenir Next LT Pro" w:eastAsia="Times New Roman" w:hAnsi="Avenir Next LT Pro" w:cs="Arial"/>
          <w:color w:val="000000"/>
          <w:lang w:eastAsia="es-ES"/>
        </w:rPr>
        <w:t xml:space="preserve"> el SAT </w:t>
      </w:r>
      <w:r w:rsidR="009C1EE0">
        <w:rPr>
          <w:rFonts w:ascii="Avenir Next LT Pro" w:eastAsia="Times New Roman" w:hAnsi="Avenir Next LT Pro" w:cs="Arial"/>
          <w:color w:val="000000"/>
          <w:lang w:eastAsia="es-ES"/>
        </w:rPr>
        <w:t xml:space="preserve">por medio </w:t>
      </w:r>
      <w:r w:rsidRPr="00914268">
        <w:rPr>
          <w:rFonts w:ascii="Avenir Next LT Pro" w:eastAsia="Times New Roman" w:hAnsi="Avenir Next LT Pro" w:cs="Arial"/>
          <w:color w:val="000000"/>
          <w:lang w:eastAsia="es-ES"/>
        </w:rPr>
        <w:t>de reglas de carácter general</w:t>
      </w:r>
      <w:r w:rsidRPr="00914268">
        <w:rPr>
          <w:rFonts w:ascii="Avenir Next LT Pro" w:eastAsia="Times New Roman" w:hAnsi="Avenir Next LT Pro" w:cs="Arial"/>
          <w:color w:val="000000"/>
          <w:shd w:val="clear" w:color="auto" w:fill="FFFFFF"/>
          <w:lang w:eastAsia="es-ES"/>
        </w:rPr>
        <w:t xml:space="preserve">, establece </w:t>
      </w:r>
      <w:r w:rsidRPr="00914268">
        <w:rPr>
          <w:rFonts w:ascii="Avenir Next LT Pro" w:eastAsia="Times New Roman" w:hAnsi="Avenir Next LT Pro" w:cs="Arial"/>
          <w:lang w:eastAsia="es-ES"/>
        </w:rPr>
        <w:t xml:space="preserve">que únicamente se presentará </w:t>
      </w:r>
      <w:r w:rsidR="00762122">
        <w:rPr>
          <w:rFonts w:ascii="Avenir Next LT Pro" w:eastAsia="Times New Roman" w:hAnsi="Avenir Next LT Pro" w:cs="Arial"/>
          <w:lang w:eastAsia="es-ES"/>
        </w:rPr>
        <w:t>la</w:t>
      </w:r>
      <w:r w:rsidRPr="00914268">
        <w:rPr>
          <w:rFonts w:ascii="Avenir Next LT Pro" w:eastAsia="Times New Roman" w:hAnsi="Avenir Next LT Pro" w:cs="Arial"/>
          <w:b/>
          <w:lang w:eastAsia="es-ES"/>
        </w:rPr>
        <w:t xml:space="preserve"> ISSIF</w:t>
      </w:r>
      <w:r w:rsidRPr="00914268">
        <w:rPr>
          <w:rFonts w:ascii="Avenir Next LT Pro" w:eastAsia="Times New Roman" w:hAnsi="Avenir Next LT Pro" w:cs="Arial"/>
          <w:lang w:eastAsia="es-ES"/>
        </w:rPr>
        <w:t xml:space="preserve"> cuando </w:t>
      </w:r>
      <w:r w:rsidRPr="00914268">
        <w:rPr>
          <w:rFonts w:ascii="Avenir Next LT Pro" w:eastAsia="Times New Roman" w:hAnsi="Avenir Next LT Pro" w:cs="Arial"/>
          <w:color w:val="000000"/>
          <w:shd w:val="clear" w:color="auto" w:fill="FFFFFF"/>
          <w:lang w:eastAsia="es-ES"/>
        </w:rPr>
        <w:t xml:space="preserve">en el ejercicio se hayan realizado operaciones con los sujetos obligados a dictaminarse y siempre que el monto de la operación exceda de $13’000,000.00 por actividades empresariales, o de $3’000,000.00 en el caso de prestación de servicios profesionales. Los contribuyentes se encuentran en estado de incertidumbre, en cuanto al alcance de la obligación contenida en esta regla, específicamente en que, si en los montos mencionados se incluye únicamente las operaciones con los obligados a dictaminarse o el total de operaciones con todas las partes relacionadas. Considerando que </w:t>
      </w:r>
      <w:r w:rsidR="00762122">
        <w:rPr>
          <w:rFonts w:ascii="Avenir Next LT Pro" w:eastAsia="Times New Roman" w:hAnsi="Avenir Next LT Pro" w:cs="Arial"/>
          <w:color w:val="000000"/>
          <w:shd w:val="clear" w:color="auto" w:fill="FFFFFF"/>
          <w:lang w:eastAsia="es-ES"/>
        </w:rPr>
        <w:t>la</w:t>
      </w:r>
      <w:r w:rsidRPr="00914268">
        <w:rPr>
          <w:rFonts w:ascii="Avenir Next LT Pro" w:eastAsia="Times New Roman" w:hAnsi="Avenir Next LT Pro" w:cs="Arial"/>
          <w:color w:val="000000"/>
          <w:shd w:val="clear" w:color="auto" w:fill="FFFFFF"/>
          <w:lang w:eastAsia="es-ES"/>
        </w:rPr>
        <w:t xml:space="preserve"> </w:t>
      </w:r>
      <w:r w:rsidRPr="00914268">
        <w:rPr>
          <w:rFonts w:ascii="Avenir Next LT Pro" w:eastAsia="Times New Roman" w:hAnsi="Avenir Next LT Pro" w:cs="Arial"/>
          <w:b/>
          <w:color w:val="000000"/>
          <w:lang w:eastAsia="es-ES"/>
        </w:rPr>
        <w:t>ISSIF (32H-CFF)</w:t>
      </w:r>
      <w:r w:rsidRPr="00914268">
        <w:rPr>
          <w:rFonts w:ascii="Avenir Next LT Pro" w:eastAsia="Times New Roman" w:hAnsi="Avenir Next LT Pro" w:cs="Arial"/>
          <w:color w:val="000000"/>
          <w:lang w:eastAsia="es-ES"/>
        </w:rPr>
        <w:t>, debe ser llenado y generar un archivo</w:t>
      </w:r>
      <w:r w:rsidRPr="00914268">
        <w:rPr>
          <w:rFonts w:ascii="Avenir Next LT Pro" w:eastAsia="Times New Roman" w:hAnsi="Avenir Next LT Pro" w:cs="Arial"/>
          <w:color w:val="000000"/>
          <w:shd w:val="clear" w:color="auto" w:fill="FFFFFF"/>
          <w:lang w:eastAsia="es-ES"/>
        </w:rPr>
        <w:t xml:space="preserve"> </w:t>
      </w:r>
      <w:r w:rsidR="00274FE0">
        <w:rPr>
          <w:rFonts w:ascii="Avenir Next LT Pro" w:eastAsia="Times New Roman" w:hAnsi="Avenir Next LT Pro" w:cs="Arial"/>
          <w:color w:val="000000"/>
          <w:shd w:val="clear" w:color="auto" w:fill="FFFFFF"/>
          <w:lang w:eastAsia="es-ES"/>
        </w:rPr>
        <w:t>que</w:t>
      </w:r>
      <w:r w:rsidRPr="00914268">
        <w:rPr>
          <w:rFonts w:ascii="Avenir Next LT Pro" w:eastAsia="Times New Roman" w:hAnsi="Avenir Next LT Pro" w:cs="Arial"/>
          <w:color w:val="000000"/>
          <w:shd w:val="clear" w:color="auto" w:fill="FFFFFF"/>
          <w:lang w:eastAsia="es-ES"/>
        </w:rPr>
        <w:t xml:space="preserve"> se adjuntará a la declaración anual</w:t>
      </w:r>
      <w:r w:rsidR="004D0EB3">
        <w:rPr>
          <w:rFonts w:ascii="Avenir Next LT Pro" w:eastAsia="Times New Roman" w:hAnsi="Avenir Next LT Pro" w:cs="Arial"/>
          <w:color w:val="000000"/>
          <w:shd w:val="clear" w:color="auto" w:fill="FFFFFF"/>
          <w:lang w:eastAsia="es-ES"/>
        </w:rPr>
        <w:t xml:space="preserve">, los cuales </w:t>
      </w:r>
      <w:r w:rsidRPr="00914268">
        <w:rPr>
          <w:rFonts w:ascii="Avenir Next LT Pro" w:eastAsia="Times New Roman" w:hAnsi="Avenir Next LT Pro" w:cs="Arial"/>
          <w:color w:val="000000"/>
          <w:shd w:val="clear" w:color="auto" w:fill="FFFFFF"/>
          <w:lang w:eastAsia="es-ES"/>
        </w:rPr>
        <w:t>se enviarán de manera conjunta</w:t>
      </w:r>
      <w:r w:rsidRPr="00914268">
        <w:rPr>
          <w:rFonts w:ascii="Avenir Next LT Pro" w:eastAsia="Times New Roman" w:hAnsi="Avenir Next LT Pro" w:cs="Arial"/>
          <w:color w:val="000000"/>
          <w:lang w:eastAsia="es-ES"/>
        </w:rPr>
        <w:t xml:space="preserve">, </w:t>
      </w:r>
      <w:r w:rsidRPr="00914268">
        <w:rPr>
          <w:rFonts w:ascii="Avenir Next LT Pro" w:eastAsia="Times New Roman" w:hAnsi="Avenir Next LT Pro" w:cs="Arial"/>
          <w:color w:val="000000"/>
          <w:shd w:val="clear" w:color="auto" w:fill="FFFFFF"/>
          <w:lang w:eastAsia="es-ES"/>
        </w:rPr>
        <w:t>está por concluir el plazo de presentación de la declaración anual, y es recomendable analizar a detalle si se encuentran o no en el supuesto de presentación de la informativa de la situación fiscal por ser partes relacionadas de contribuyentes obligados a dictaminarse.</w:t>
      </w:r>
    </w:p>
    <w:p w14:paraId="70BD58C4" w14:textId="77777777" w:rsidR="004D1F94" w:rsidRPr="00914268" w:rsidRDefault="004D1F94" w:rsidP="00914268">
      <w:pPr>
        <w:spacing w:before="120" w:after="240"/>
        <w:jc w:val="both"/>
        <w:rPr>
          <w:rFonts w:ascii="Avenir Next LT Pro" w:hAnsi="Avenir Next LT Pro"/>
          <w:b/>
          <w:color w:val="202020"/>
        </w:rPr>
      </w:pPr>
      <w:r w:rsidRPr="00914268">
        <w:rPr>
          <w:rFonts w:ascii="Avenir Next LT Pro" w:hAnsi="Avenir Next LT Pro"/>
          <w:b/>
          <w:color w:val="202020"/>
        </w:rPr>
        <w:t>Actualización de información</w:t>
      </w:r>
    </w:p>
    <w:p w14:paraId="2B0341C1" w14:textId="602277DC" w:rsidR="004D1F94" w:rsidRDefault="004D1F94" w:rsidP="00914268">
      <w:pPr>
        <w:spacing w:before="120" w:after="240"/>
        <w:jc w:val="both"/>
        <w:rPr>
          <w:rFonts w:ascii="Avenir Next LT Pro" w:hAnsi="Avenir Next LT Pro"/>
          <w:color w:val="202020"/>
        </w:rPr>
      </w:pPr>
      <w:r w:rsidRPr="00914268">
        <w:rPr>
          <w:rFonts w:ascii="Avenir Next LT Pro" w:hAnsi="Avenir Next LT Pro"/>
          <w:color w:val="202020"/>
        </w:rPr>
        <w:t>De realizar modificaciones en los pagos provisionales y entero de retenciones, así como en CFDI de nómina, el aplicativo no actualizará la información en forma inmediata, ya que las últimas actualizaciones tienen fecha de corte de</w:t>
      </w:r>
      <w:r w:rsidR="002A395B">
        <w:rPr>
          <w:rFonts w:ascii="Avenir Next LT Pro" w:hAnsi="Avenir Next LT Pro"/>
          <w:color w:val="202020"/>
        </w:rPr>
        <w:t xml:space="preserve"> </w:t>
      </w:r>
      <w:r w:rsidRPr="00914268">
        <w:rPr>
          <w:rFonts w:ascii="Avenir Next LT Pro" w:hAnsi="Avenir Next LT Pro"/>
          <w:color w:val="202020"/>
        </w:rPr>
        <w:t>l</w:t>
      </w:r>
      <w:r w:rsidR="002A395B">
        <w:rPr>
          <w:rFonts w:ascii="Avenir Next LT Pro" w:hAnsi="Avenir Next LT Pro"/>
          <w:color w:val="202020"/>
        </w:rPr>
        <w:t>os</w:t>
      </w:r>
      <w:r w:rsidRPr="00914268">
        <w:rPr>
          <w:rFonts w:ascii="Avenir Next LT Pro" w:hAnsi="Avenir Next LT Pro"/>
          <w:color w:val="202020"/>
        </w:rPr>
        <w:t xml:space="preserve"> día</w:t>
      </w:r>
      <w:r w:rsidR="002A395B">
        <w:rPr>
          <w:rFonts w:ascii="Avenir Next LT Pro" w:hAnsi="Avenir Next LT Pro"/>
          <w:color w:val="202020"/>
        </w:rPr>
        <w:t>s</w:t>
      </w:r>
      <w:r w:rsidRPr="00914268">
        <w:rPr>
          <w:rFonts w:ascii="Avenir Next LT Pro" w:hAnsi="Avenir Next LT Pro"/>
          <w:color w:val="202020"/>
        </w:rPr>
        <w:t xml:space="preserve"> 11 y 12 de marzo, por lo que se deben tomar las debidas precauciones en el caso de realizar modificaciones en estos rubros </w:t>
      </w:r>
      <w:r w:rsidR="00B63CED">
        <w:rPr>
          <w:rFonts w:ascii="Avenir Next LT Pro" w:hAnsi="Avenir Next LT Pro"/>
          <w:color w:val="202020"/>
        </w:rPr>
        <w:t xml:space="preserve">para que </w:t>
      </w:r>
      <w:r w:rsidRPr="00914268">
        <w:rPr>
          <w:rFonts w:ascii="Avenir Next LT Pro" w:hAnsi="Avenir Next LT Pro"/>
          <w:color w:val="202020"/>
        </w:rPr>
        <w:t xml:space="preserve">se actualicen antes del vencimiento del plazo. Desde su lanzamiento se han presentado actualizaciones al aplicativo de la declaración anual, </w:t>
      </w:r>
      <w:r w:rsidR="00A03A54">
        <w:rPr>
          <w:rFonts w:ascii="Avenir Next LT Pro" w:hAnsi="Avenir Next LT Pro"/>
          <w:color w:val="202020"/>
        </w:rPr>
        <w:t xml:space="preserve">por lo que es </w:t>
      </w:r>
      <w:r w:rsidRPr="00914268">
        <w:rPr>
          <w:rFonts w:ascii="Avenir Next LT Pro" w:hAnsi="Avenir Next LT Pro"/>
          <w:color w:val="202020"/>
        </w:rPr>
        <w:t xml:space="preserve">recomendable solicitar a la autoridad </w:t>
      </w:r>
      <w:r w:rsidR="00A03A54">
        <w:rPr>
          <w:rFonts w:ascii="Avenir Next LT Pro" w:hAnsi="Avenir Next LT Pro"/>
          <w:color w:val="202020"/>
        </w:rPr>
        <w:t xml:space="preserve">que </w:t>
      </w:r>
      <w:r w:rsidRPr="00914268">
        <w:rPr>
          <w:rFonts w:ascii="Avenir Next LT Pro" w:hAnsi="Avenir Next LT Pro"/>
          <w:color w:val="202020"/>
        </w:rPr>
        <w:t>d</w:t>
      </w:r>
      <w:r w:rsidR="00A03A54">
        <w:rPr>
          <w:rFonts w:ascii="Avenir Next LT Pro" w:hAnsi="Avenir Next LT Pro"/>
          <w:color w:val="202020"/>
        </w:rPr>
        <w:t>é</w:t>
      </w:r>
      <w:r w:rsidRPr="00914268">
        <w:rPr>
          <w:rFonts w:ascii="Avenir Next LT Pro" w:hAnsi="Avenir Next LT Pro"/>
          <w:color w:val="202020"/>
        </w:rPr>
        <w:t xml:space="preserve"> a conocer </w:t>
      </w:r>
      <w:r w:rsidR="00083552" w:rsidRPr="00914268">
        <w:rPr>
          <w:rFonts w:ascii="Avenir Next LT Pro" w:hAnsi="Avenir Next LT Pro"/>
          <w:color w:val="202020"/>
        </w:rPr>
        <w:t>cual</w:t>
      </w:r>
      <w:r w:rsidR="00083552">
        <w:rPr>
          <w:rFonts w:ascii="Avenir Next LT Pro" w:hAnsi="Avenir Next LT Pro"/>
          <w:color w:val="202020"/>
        </w:rPr>
        <w:t>es</w:t>
      </w:r>
      <w:r w:rsidR="00083552" w:rsidRPr="00914268">
        <w:rPr>
          <w:rFonts w:ascii="Avenir Next LT Pro" w:hAnsi="Avenir Next LT Pro"/>
          <w:color w:val="202020"/>
        </w:rPr>
        <w:t>quier</w:t>
      </w:r>
      <w:r w:rsidR="00083552">
        <w:rPr>
          <w:rFonts w:ascii="Avenir Next LT Pro" w:hAnsi="Avenir Next LT Pro"/>
          <w:color w:val="202020"/>
        </w:rPr>
        <w:t>a nuevas</w:t>
      </w:r>
      <w:r w:rsidR="00814C17">
        <w:rPr>
          <w:rFonts w:ascii="Avenir Next LT Pro" w:hAnsi="Avenir Next LT Pro"/>
          <w:color w:val="202020"/>
        </w:rPr>
        <w:t>(s)</w:t>
      </w:r>
      <w:r w:rsidRPr="00914268">
        <w:rPr>
          <w:rFonts w:ascii="Avenir Next LT Pro" w:hAnsi="Avenir Next LT Pro"/>
          <w:color w:val="202020"/>
        </w:rPr>
        <w:t xml:space="preserve"> actualización(es) que se presente</w:t>
      </w:r>
      <w:r w:rsidR="00FA2ACA">
        <w:rPr>
          <w:rFonts w:ascii="Avenir Next LT Pro" w:hAnsi="Avenir Next LT Pro"/>
          <w:color w:val="202020"/>
        </w:rPr>
        <w:t>(n)</w:t>
      </w:r>
      <w:r w:rsidRPr="00914268">
        <w:rPr>
          <w:rFonts w:ascii="Avenir Next LT Pro" w:hAnsi="Avenir Next LT Pro"/>
          <w:color w:val="202020"/>
        </w:rPr>
        <w:t xml:space="preserve"> dentro del aplicativo</w:t>
      </w:r>
      <w:r w:rsidR="00FA2ACA">
        <w:rPr>
          <w:rFonts w:ascii="Avenir Next LT Pro" w:hAnsi="Avenir Next LT Pro"/>
          <w:color w:val="202020"/>
        </w:rPr>
        <w:t>;</w:t>
      </w:r>
      <w:r w:rsidRPr="00914268">
        <w:rPr>
          <w:rFonts w:ascii="Avenir Next LT Pro" w:hAnsi="Avenir Next LT Pro"/>
          <w:color w:val="202020"/>
        </w:rPr>
        <w:t xml:space="preserve"> </w:t>
      </w:r>
      <w:r w:rsidR="00120692">
        <w:rPr>
          <w:rFonts w:ascii="Avenir Next LT Pro" w:hAnsi="Avenir Next LT Pro"/>
          <w:color w:val="202020"/>
        </w:rPr>
        <w:t xml:space="preserve">asimismo, </w:t>
      </w:r>
      <w:r w:rsidR="00E55346">
        <w:rPr>
          <w:rFonts w:ascii="Avenir Next LT Pro" w:hAnsi="Avenir Next LT Pro"/>
          <w:color w:val="202020"/>
        </w:rPr>
        <w:t xml:space="preserve">en el </w:t>
      </w:r>
      <w:r w:rsidRPr="00914268">
        <w:rPr>
          <w:rFonts w:ascii="Avenir Next LT Pro" w:hAnsi="Avenir Next LT Pro"/>
          <w:color w:val="202020"/>
        </w:rPr>
        <w:t xml:space="preserve">IMCP estaremos atentos para la difusión entre los asociados de cualquier actualización presentada. </w:t>
      </w:r>
    </w:p>
    <w:p w14:paraId="3CD90AB9" w14:textId="77777777" w:rsidR="004640BB" w:rsidRPr="00914268" w:rsidRDefault="004640BB" w:rsidP="00914268">
      <w:pPr>
        <w:spacing w:before="120" w:after="240"/>
        <w:jc w:val="both"/>
        <w:rPr>
          <w:rFonts w:ascii="Avenir Next LT Pro" w:hAnsi="Avenir Next LT Pro"/>
          <w:b/>
        </w:rPr>
      </w:pPr>
    </w:p>
    <w:p w14:paraId="76373CB9" w14:textId="1FB60DFB" w:rsidR="00B40C97" w:rsidRDefault="00DE47FA" w:rsidP="00B40C97">
      <w:pPr>
        <w:ind w:left="284"/>
        <w:jc w:val="right"/>
        <w:rPr>
          <w:rFonts w:ascii="Avenir Next LT Pro" w:hAnsi="Avenir Next LT Pro" w:cs="Arial"/>
          <w:b/>
          <w:bCs/>
        </w:rPr>
      </w:pPr>
      <w:r w:rsidRPr="00914268">
        <w:rPr>
          <w:rFonts w:ascii="Avenir Next LT Pro" w:hAnsi="Avenir Next LT Pro" w:cs="Arial"/>
          <w:b/>
          <w:bCs/>
        </w:rPr>
        <w:t>C.P.C. Luis Carlos Figueroa Moncada</w:t>
      </w:r>
    </w:p>
    <w:p w14:paraId="44FD1BFA" w14:textId="5EF4F3BB" w:rsidR="00DE47FA" w:rsidRDefault="00DE47FA" w:rsidP="00B40C97">
      <w:pPr>
        <w:ind w:left="284"/>
        <w:jc w:val="right"/>
        <w:rPr>
          <w:rFonts w:ascii="Avenir Next LT Pro" w:hAnsi="Avenir Next LT Pro" w:cs="Arial"/>
        </w:rPr>
      </w:pPr>
      <w:r w:rsidRPr="00914268">
        <w:rPr>
          <w:rFonts w:ascii="Avenir Next LT Pro" w:hAnsi="Avenir Next LT Pro" w:cs="Arial"/>
        </w:rPr>
        <w:t>Presidente de la Comisión de Síndicos del IMCP</w:t>
      </w:r>
    </w:p>
    <w:p w14:paraId="15C06C23" w14:textId="77777777" w:rsidR="009D6163" w:rsidRPr="00914268" w:rsidRDefault="009D6163" w:rsidP="00B40C97">
      <w:pPr>
        <w:ind w:left="284"/>
        <w:jc w:val="right"/>
        <w:rPr>
          <w:rFonts w:ascii="Avenir Next LT Pro" w:hAnsi="Avenir Next LT Pro" w:cs="Arial"/>
        </w:rPr>
      </w:pPr>
    </w:p>
    <w:p w14:paraId="74DE2045" w14:textId="77777777" w:rsidR="00DE47FA" w:rsidRDefault="00DE47FA" w:rsidP="00DE47FA">
      <w:pPr>
        <w:spacing w:before="120" w:after="120"/>
        <w:jc w:val="center"/>
        <w:rPr>
          <w:rFonts w:ascii="Avenir Next LT Pro" w:hAnsi="Avenir Next LT Pro" w:cs="Arial"/>
          <w:b/>
          <w:bCs/>
        </w:rPr>
      </w:pPr>
      <w:r w:rsidRPr="00BD1335">
        <w:rPr>
          <w:rFonts w:ascii="Avenir Next LT Pro" w:hAnsi="Avenir Next LT Pro" w:cs="Arial"/>
          <w:b/>
          <w:bCs/>
        </w:rPr>
        <w:t xml:space="preserve">*** </w:t>
      </w:r>
      <w:r w:rsidRPr="00BD1335">
        <w:rPr>
          <w:rFonts w:ascii="Avenir Next LT Pro" w:hAnsi="Avenir Next LT Pro" w:cs="Arial"/>
          <w:b/>
          <w:bCs/>
        </w:rPr>
        <w:br w:type="page"/>
      </w:r>
    </w:p>
    <w:p w14:paraId="362158F5" w14:textId="77777777" w:rsidR="00DE47FA" w:rsidRDefault="00DE47FA" w:rsidP="00DE47FA">
      <w:pPr>
        <w:spacing w:before="120"/>
        <w:ind w:left="284"/>
        <w:jc w:val="right"/>
        <w:rPr>
          <w:rFonts w:ascii="Avenir Next LT Pro" w:hAnsi="Avenir Next LT Pro" w:cs="Arial"/>
        </w:rPr>
      </w:pPr>
    </w:p>
    <w:p w14:paraId="09D09579" w14:textId="77777777" w:rsidR="001D7E24" w:rsidRPr="001D7E24" w:rsidRDefault="001D7E24" w:rsidP="001D7E24">
      <w:pPr>
        <w:spacing w:line="360" w:lineRule="auto"/>
        <w:jc w:val="center"/>
        <w:rPr>
          <w:rFonts w:ascii="Avenir Next LT Pro" w:hAnsi="Avenir Next LT Pro" w:cs="Arial"/>
          <w:b/>
          <w:bCs/>
        </w:rPr>
      </w:pPr>
      <w:r w:rsidRPr="001D7E24">
        <w:rPr>
          <w:rFonts w:ascii="Avenir Next LT Pro" w:hAnsi="Avenir Next LT Pro" w:cs="Arial"/>
          <w:b/>
          <w:bCs/>
        </w:rPr>
        <w:t>SOSTENIBILIDAD EMPRESARIAL: UNA VISIÓN A LARGO PLAZO</w:t>
      </w:r>
    </w:p>
    <w:p w14:paraId="656064A6" w14:textId="17778399" w:rsidR="001D7E24" w:rsidRPr="00A81B33" w:rsidRDefault="001D7E24" w:rsidP="001D7E24">
      <w:pPr>
        <w:spacing w:before="120" w:after="120"/>
        <w:jc w:val="both"/>
        <w:rPr>
          <w:rFonts w:ascii="Avenir Next LT Pro" w:hAnsi="Avenir Next LT Pro" w:cs="Arial"/>
          <w:spacing w:val="-4"/>
        </w:rPr>
      </w:pPr>
      <w:r w:rsidRPr="00A81B33">
        <w:rPr>
          <w:rFonts w:ascii="Avenir Next LT Pro" w:hAnsi="Avenir Next LT Pro" w:cs="Arial"/>
          <w:spacing w:val="-4"/>
        </w:rPr>
        <w:t>Día con día escuchamos noticias sobre los diferentes fenómenos climatológicos que azotan a nuestro país y al mundo entero, tal como la situación que vivió la población en el estado de Nuevo León el año pasado con la escasez del agua</w:t>
      </w:r>
      <w:r w:rsidR="00AF22A7">
        <w:rPr>
          <w:rFonts w:ascii="Avenir Next LT Pro" w:hAnsi="Avenir Next LT Pro" w:cs="Arial"/>
          <w:spacing w:val="-4"/>
        </w:rPr>
        <w:t>,</w:t>
      </w:r>
      <w:r w:rsidRPr="00A81B33">
        <w:rPr>
          <w:rFonts w:ascii="Avenir Next LT Pro" w:hAnsi="Avenir Next LT Pro" w:cs="Arial"/>
          <w:spacing w:val="-4"/>
        </w:rPr>
        <w:t xml:space="preserve"> o aquellas acciones llevadas a cabo por el ser humano como la destrucción de la selva del Amazonas. También es común </w:t>
      </w:r>
      <w:r w:rsidR="00610F36" w:rsidRPr="00A81B33">
        <w:rPr>
          <w:rFonts w:ascii="Avenir Next LT Pro" w:hAnsi="Avenir Next LT Pro" w:cs="Arial"/>
          <w:spacing w:val="-4"/>
        </w:rPr>
        <w:t>oír</w:t>
      </w:r>
      <w:r w:rsidRPr="00A81B33">
        <w:rPr>
          <w:rFonts w:ascii="Avenir Next LT Pro" w:hAnsi="Avenir Next LT Pro" w:cs="Arial"/>
          <w:spacing w:val="-4"/>
        </w:rPr>
        <w:t xml:space="preserve"> acerca de las desigualdades en las oportunidades de trabajo y </w:t>
      </w:r>
      <w:r w:rsidR="00904F2D">
        <w:rPr>
          <w:rFonts w:ascii="Avenir Next LT Pro" w:hAnsi="Avenir Next LT Pro" w:cs="Arial"/>
          <w:spacing w:val="-4"/>
        </w:rPr>
        <w:t xml:space="preserve">la </w:t>
      </w:r>
      <w:r w:rsidR="00E57359" w:rsidRPr="00A81B33">
        <w:rPr>
          <w:rFonts w:ascii="Avenir Next LT Pro" w:hAnsi="Avenir Next LT Pro" w:cs="Arial"/>
          <w:spacing w:val="-4"/>
        </w:rPr>
        <w:t>brecha salaria</w:t>
      </w:r>
      <w:r w:rsidR="001B22E7" w:rsidRPr="00A81B33">
        <w:rPr>
          <w:rFonts w:ascii="Avenir Next LT Pro" w:hAnsi="Avenir Next LT Pro" w:cs="Arial"/>
          <w:spacing w:val="-4"/>
        </w:rPr>
        <w:t>l</w:t>
      </w:r>
      <w:r w:rsidRPr="00A81B33">
        <w:rPr>
          <w:rFonts w:ascii="Avenir Next LT Pro" w:hAnsi="Avenir Next LT Pro" w:cs="Arial"/>
          <w:spacing w:val="-4"/>
        </w:rPr>
        <w:t xml:space="preserve"> entre hombres y mujeres </w:t>
      </w:r>
      <w:r w:rsidR="001B22E7" w:rsidRPr="00A81B33">
        <w:rPr>
          <w:rFonts w:ascii="Avenir Next LT Pro" w:hAnsi="Avenir Next LT Pro" w:cs="Arial"/>
          <w:spacing w:val="-4"/>
        </w:rPr>
        <w:t>que realizan</w:t>
      </w:r>
      <w:r w:rsidRPr="00A81B33">
        <w:rPr>
          <w:rFonts w:ascii="Avenir Next LT Pro" w:hAnsi="Avenir Next LT Pro" w:cs="Arial"/>
          <w:spacing w:val="-4"/>
        </w:rPr>
        <w:t xml:space="preserve"> la misma actividad. A esto, podemos agregar eventos relacionados con corrupción, con un control interno débil o incluso la ausencia de </w:t>
      </w:r>
      <w:r w:rsidR="002E491A">
        <w:rPr>
          <w:rFonts w:ascii="Avenir Next LT Pro" w:hAnsi="Avenir Next LT Pro" w:cs="Arial"/>
          <w:spacing w:val="-4"/>
        </w:rPr>
        <w:t>e</w:t>
      </w:r>
      <w:r w:rsidRPr="00A81B33">
        <w:rPr>
          <w:rFonts w:ascii="Avenir Next LT Pro" w:hAnsi="Avenir Next LT Pro" w:cs="Arial"/>
          <w:spacing w:val="-4"/>
        </w:rPr>
        <w:t>ste, y con falta de transparencia</w:t>
      </w:r>
      <w:r w:rsidR="00F9423D" w:rsidRPr="00A81B33">
        <w:rPr>
          <w:rFonts w:ascii="Avenir Next LT Pro" w:hAnsi="Avenir Next LT Pro" w:cs="Arial"/>
          <w:spacing w:val="-4"/>
        </w:rPr>
        <w:t>, lo</w:t>
      </w:r>
      <w:r w:rsidRPr="00A81B33">
        <w:rPr>
          <w:rFonts w:ascii="Avenir Next LT Pro" w:hAnsi="Avenir Next LT Pro" w:cs="Arial"/>
          <w:spacing w:val="-4"/>
        </w:rPr>
        <w:t xml:space="preserve"> que ha provocado algunas de las últimas crisis como la burbuja que encabezó Lehman </w:t>
      </w:r>
      <w:proofErr w:type="spellStart"/>
      <w:r w:rsidRPr="00A81B33">
        <w:rPr>
          <w:rFonts w:ascii="Avenir Next LT Pro" w:hAnsi="Avenir Next LT Pro" w:cs="Arial"/>
          <w:spacing w:val="-4"/>
        </w:rPr>
        <w:t>Brothers</w:t>
      </w:r>
      <w:proofErr w:type="spellEnd"/>
      <w:r w:rsidRPr="00A81B33">
        <w:rPr>
          <w:rFonts w:ascii="Avenir Next LT Pro" w:hAnsi="Avenir Next LT Pro" w:cs="Arial"/>
          <w:spacing w:val="-4"/>
        </w:rPr>
        <w:t xml:space="preserve"> y que ha sido recordad</w:t>
      </w:r>
      <w:r w:rsidR="001B324B">
        <w:rPr>
          <w:rFonts w:ascii="Avenir Next LT Pro" w:hAnsi="Avenir Next LT Pro" w:cs="Arial"/>
          <w:spacing w:val="-4"/>
        </w:rPr>
        <w:t>a</w:t>
      </w:r>
      <w:r w:rsidRPr="00A81B33">
        <w:rPr>
          <w:rFonts w:ascii="Avenir Next LT Pro" w:hAnsi="Avenir Next LT Pro" w:cs="Arial"/>
          <w:spacing w:val="-4"/>
        </w:rPr>
        <w:t xml:space="preserve"> con los recientes acontecimientos relacionados con Silicon Valley Bank y </w:t>
      </w:r>
      <w:proofErr w:type="spellStart"/>
      <w:r w:rsidRPr="00A81B33">
        <w:rPr>
          <w:rFonts w:ascii="Avenir Next LT Pro" w:hAnsi="Avenir Next LT Pro" w:cs="Arial"/>
          <w:spacing w:val="-4"/>
        </w:rPr>
        <w:t>First</w:t>
      </w:r>
      <w:proofErr w:type="spellEnd"/>
      <w:r w:rsidRPr="00A81B33">
        <w:rPr>
          <w:rFonts w:ascii="Avenir Next LT Pro" w:hAnsi="Avenir Next LT Pro" w:cs="Arial"/>
          <w:spacing w:val="-4"/>
        </w:rPr>
        <w:t xml:space="preserve"> </w:t>
      </w:r>
      <w:proofErr w:type="spellStart"/>
      <w:r w:rsidRPr="00A81B33">
        <w:rPr>
          <w:rFonts w:ascii="Avenir Next LT Pro" w:hAnsi="Avenir Next LT Pro" w:cs="Arial"/>
          <w:spacing w:val="-4"/>
        </w:rPr>
        <w:t>Republic</w:t>
      </w:r>
      <w:proofErr w:type="spellEnd"/>
      <w:r w:rsidRPr="00A81B33">
        <w:rPr>
          <w:rFonts w:ascii="Avenir Next LT Pro" w:hAnsi="Avenir Next LT Pro" w:cs="Arial"/>
          <w:spacing w:val="-4"/>
        </w:rPr>
        <w:t xml:space="preserve"> Bank.</w:t>
      </w:r>
    </w:p>
    <w:p w14:paraId="3E020FA5" w14:textId="6F802CD0" w:rsidR="001D7E24" w:rsidRPr="001D7E24" w:rsidRDefault="001D7E24" w:rsidP="00722FCF">
      <w:pPr>
        <w:spacing w:before="120" w:after="120"/>
        <w:jc w:val="both"/>
        <w:rPr>
          <w:rFonts w:ascii="Avenir Next LT Pro" w:hAnsi="Avenir Next LT Pro" w:cs="Arial"/>
        </w:rPr>
      </w:pPr>
      <w:r w:rsidRPr="001D7E24">
        <w:rPr>
          <w:rFonts w:ascii="Avenir Next LT Pro" w:hAnsi="Avenir Next LT Pro" w:cs="Arial"/>
        </w:rPr>
        <w:t xml:space="preserve">Lo anterior hace que nos preguntemos </w:t>
      </w:r>
      <w:r w:rsidRPr="001E0DA8">
        <w:rPr>
          <w:rFonts w:ascii="Avenir Next LT Pro" w:hAnsi="Avenir Next LT Pro" w:cs="Arial"/>
          <w:b/>
          <w:bCs/>
        </w:rPr>
        <w:t>cómo afectan estos hechos la existencia de los entes económicos de todos los sectores</w:t>
      </w:r>
      <w:r w:rsidRPr="001D7E24">
        <w:rPr>
          <w:rFonts w:ascii="Avenir Next LT Pro" w:hAnsi="Avenir Next LT Pro" w:cs="Arial"/>
        </w:rPr>
        <w:t xml:space="preserve">; ya que la cadena de suministros comienza con las materias primas que provienen de la naturaleza y la inestabilidad económica a </w:t>
      </w:r>
      <w:r w:rsidR="00170332">
        <w:rPr>
          <w:rFonts w:ascii="Avenir Next LT Pro" w:hAnsi="Avenir Next LT Pro" w:cs="Arial"/>
        </w:rPr>
        <w:t>escala</w:t>
      </w:r>
      <w:r w:rsidRPr="001D7E24">
        <w:rPr>
          <w:rFonts w:ascii="Avenir Next LT Pro" w:hAnsi="Avenir Next LT Pro" w:cs="Arial"/>
        </w:rPr>
        <w:t xml:space="preserve"> macroeconómic</w:t>
      </w:r>
      <w:r w:rsidR="00170332">
        <w:rPr>
          <w:rFonts w:ascii="Avenir Next LT Pro" w:hAnsi="Avenir Next LT Pro" w:cs="Arial"/>
        </w:rPr>
        <w:t>a</w:t>
      </w:r>
      <w:r w:rsidRPr="001D7E24">
        <w:rPr>
          <w:rFonts w:ascii="Avenir Next LT Pro" w:hAnsi="Avenir Next LT Pro" w:cs="Arial"/>
        </w:rPr>
        <w:t xml:space="preserve"> afecta hasta a los más pequeños comerciantes y</w:t>
      </w:r>
      <w:r w:rsidR="00C81D67">
        <w:rPr>
          <w:rFonts w:ascii="Avenir Next LT Pro" w:hAnsi="Avenir Next LT Pro" w:cs="Arial"/>
        </w:rPr>
        <w:t>,</w:t>
      </w:r>
      <w:r w:rsidRPr="001D7E24">
        <w:rPr>
          <w:rFonts w:ascii="Avenir Next LT Pro" w:hAnsi="Avenir Next LT Pro" w:cs="Arial"/>
        </w:rPr>
        <w:t xml:space="preserve"> por ende, las condiciones laborales también pudieran verse afectadas como lo vimos con la pandemia </w:t>
      </w:r>
      <w:r w:rsidR="00C81D67">
        <w:rPr>
          <w:rFonts w:ascii="Avenir Next LT Pro" w:hAnsi="Avenir Next LT Pro" w:cs="Arial"/>
        </w:rPr>
        <w:t xml:space="preserve">del </w:t>
      </w:r>
      <w:r w:rsidRPr="001D7E24">
        <w:rPr>
          <w:rFonts w:ascii="Avenir Next LT Pro" w:hAnsi="Avenir Next LT Pro" w:cs="Arial"/>
        </w:rPr>
        <w:t>COVID-19. De ahí, que pensemos en t</w:t>
      </w:r>
      <w:r w:rsidR="004A26A9">
        <w:rPr>
          <w:rFonts w:ascii="Avenir Next LT Pro" w:hAnsi="Avenir Next LT Pro" w:cs="Arial"/>
        </w:rPr>
        <w:t>é</w:t>
      </w:r>
      <w:r w:rsidRPr="001D7E24">
        <w:rPr>
          <w:rFonts w:ascii="Avenir Next LT Pro" w:hAnsi="Avenir Next LT Pro" w:cs="Arial"/>
        </w:rPr>
        <w:t>rmino</w:t>
      </w:r>
      <w:r w:rsidR="004A26A9">
        <w:rPr>
          <w:rFonts w:ascii="Avenir Next LT Pro" w:hAnsi="Avenir Next LT Pro" w:cs="Arial"/>
        </w:rPr>
        <w:t>s</w:t>
      </w:r>
      <w:r w:rsidRPr="001D7E24">
        <w:rPr>
          <w:rFonts w:ascii="Avenir Next LT Pro" w:hAnsi="Avenir Next LT Pro" w:cs="Arial"/>
        </w:rPr>
        <w:t xml:space="preserve"> de </w:t>
      </w:r>
      <w:r w:rsidRPr="00FF61A7">
        <w:rPr>
          <w:rFonts w:ascii="Avenir Next LT Pro" w:hAnsi="Avenir Next LT Pro" w:cs="Arial"/>
          <w:b/>
          <w:bCs/>
        </w:rPr>
        <w:t>sostenibilidad empresarial</w:t>
      </w:r>
      <w:r w:rsidR="00CA5FDD" w:rsidRPr="00FF61A7">
        <w:rPr>
          <w:rFonts w:ascii="Avenir Next LT Pro" w:hAnsi="Avenir Next LT Pro" w:cs="Arial"/>
          <w:b/>
          <w:bCs/>
        </w:rPr>
        <w:t>,</w:t>
      </w:r>
      <w:r w:rsidRPr="00FF61A7">
        <w:rPr>
          <w:rFonts w:ascii="Avenir Next LT Pro" w:hAnsi="Avenir Next LT Pro" w:cs="Arial"/>
          <w:b/>
          <w:bCs/>
        </w:rPr>
        <w:t xml:space="preserve"> </w:t>
      </w:r>
      <w:r w:rsidR="00CA5FDD" w:rsidRPr="00FF61A7">
        <w:rPr>
          <w:rFonts w:ascii="Avenir Next LT Pro" w:hAnsi="Avenir Next LT Pro" w:cs="Arial"/>
          <w:b/>
          <w:bCs/>
        </w:rPr>
        <w:t>la</w:t>
      </w:r>
      <w:r w:rsidRPr="00FF61A7">
        <w:rPr>
          <w:rFonts w:ascii="Avenir Next LT Pro" w:hAnsi="Avenir Next LT Pro" w:cs="Arial"/>
          <w:b/>
          <w:bCs/>
        </w:rPr>
        <w:t xml:space="preserve"> cual se relaciona con la definición del desarrollo sostenible propuesto en el Informe Bruntland de las Naciones Unidas</w:t>
      </w:r>
      <w:r w:rsidRPr="001D7E24">
        <w:rPr>
          <w:rFonts w:ascii="Avenir Next LT Pro" w:hAnsi="Avenir Next LT Pro" w:cs="Arial"/>
        </w:rPr>
        <w:t xml:space="preserve"> en 1987 y que a la letra dice: </w:t>
      </w:r>
      <w:r w:rsidRPr="00FF61A7">
        <w:rPr>
          <w:rFonts w:ascii="Avenir Next LT Pro" w:hAnsi="Avenir Next LT Pro" w:cs="Arial"/>
          <w:b/>
          <w:bCs/>
        </w:rPr>
        <w:t>“aquel que satisface las necesidades actuales sin comprometer la capacidad de las generaciones futuras para satisfacer sus propias necesidades”</w:t>
      </w:r>
      <w:r w:rsidRPr="001D7E24">
        <w:rPr>
          <w:rFonts w:ascii="Avenir Next LT Pro" w:hAnsi="Avenir Next LT Pro" w:cs="Arial"/>
        </w:rPr>
        <w:t>. De ahí que en 2015 la ONU haya aprobado la Agenda 2030 que incluye los Objetivos del Desarrollo Sostenible (ODS): 17 objetivos relacionados con el medio ambiente, la sociedad y la economía, y que requiere no sólo el esfuerzo de los gobiernos, sino también de las empresas y de la sociedad civil.</w:t>
      </w:r>
    </w:p>
    <w:p w14:paraId="701EF086" w14:textId="20AC08CC" w:rsidR="001D7E24" w:rsidRPr="001D7E24" w:rsidRDefault="001D7E24" w:rsidP="002B3BAD">
      <w:pPr>
        <w:spacing w:before="120" w:after="120"/>
        <w:jc w:val="both"/>
        <w:rPr>
          <w:rFonts w:ascii="Avenir Next LT Pro" w:hAnsi="Avenir Next LT Pro" w:cs="Arial"/>
        </w:rPr>
      </w:pPr>
      <w:r w:rsidRPr="001D7E24">
        <w:rPr>
          <w:rFonts w:ascii="Avenir Next LT Pro" w:hAnsi="Avenir Next LT Pro" w:cs="Arial"/>
        </w:rPr>
        <w:t xml:space="preserve">En este sentido, </w:t>
      </w:r>
      <w:r w:rsidRPr="00FF61A7">
        <w:rPr>
          <w:rFonts w:ascii="Avenir Next LT Pro" w:hAnsi="Avenir Next LT Pro" w:cs="Arial"/>
          <w:b/>
          <w:bCs/>
        </w:rPr>
        <w:t xml:space="preserve">las empresas cuentan con </w:t>
      </w:r>
      <w:r w:rsidRPr="00FF61A7">
        <w:rPr>
          <w:rFonts w:ascii="Avenir Next LT Pro" w:hAnsi="Avenir Next LT Pro" w:cs="Arial"/>
        </w:rPr>
        <w:t>una gran variedad de</w:t>
      </w:r>
      <w:r w:rsidRPr="00FF61A7">
        <w:rPr>
          <w:rFonts w:ascii="Avenir Next LT Pro" w:hAnsi="Avenir Next LT Pro" w:cs="Arial"/>
          <w:b/>
          <w:bCs/>
        </w:rPr>
        <w:t xml:space="preserve"> esquemas para medir e implementar acciones que les ayuden a identificar y prevenir riesgos y aprovechar las oportunidades con las que cuentan de acuerdo con el sector en que se ubican</w:t>
      </w:r>
      <w:r w:rsidRPr="001D7E24">
        <w:rPr>
          <w:rFonts w:ascii="Avenir Next LT Pro" w:hAnsi="Avenir Next LT Pro" w:cs="Arial"/>
        </w:rPr>
        <w:t xml:space="preserve">, entre los que destacan: el Pacto Mundial de las Naciones Unidas, </w:t>
      </w:r>
      <w:r w:rsidRPr="00310D6C">
        <w:rPr>
          <w:rFonts w:ascii="Avenir Next LT Pro" w:hAnsi="Avenir Next LT Pro" w:cs="Arial"/>
        </w:rPr>
        <w:t xml:space="preserve">los indicadores GRI y el TCFD. Todos estos esquemas cubren aspectos ambientales, sociales y de </w:t>
      </w:r>
      <w:r w:rsidR="00FC37F7" w:rsidRPr="00310D6C">
        <w:rPr>
          <w:rFonts w:ascii="Avenir Next LT Pro" w:hAnsi="Avenir Next LT Pro" w:cs="Arial"/>
        </w:rPr>
        <w:t>Gobierno Corporativo</w:t>
      </w:r>
      <w:r w:rsidRPr="00310D6C">
        <w:rPr>
          <w:rFonts w:ascii="Avenir Next LT Pro" w:hAnsi="Avenir Next LT Pro" w:cs="Arial"/>
        </w:rPr>
        <w:t xml:space="preserve">, conocidos como factores ASG </w:t>
      </w:r>
      <w:r w:rsidR="00C15A6E" w:rsidRPr="00310D6C">
        <w:rPr>
          <w:rFonts w:ascii="Avenir Next LT Pro" w:hAnsi="Avenir Next LT Pro" w:cs="Arial"/>
        </w:rPr>
        <w:t>(</w:t>
      </w:r>
      <w:r w:rsidRPr="00310D6C">
        <w:rPr>
          <w:rFonts w:ascii="Avenir Next LT Pro" w:hAnsi="Avenir Next LT Pro" w:cs="Arial"/>
        </w:rPr>
        <w:t>o por sus siglas en inglés</w:t>
      </w:r>
      <w:r w:rsidR="00C15A6E" w:rsidRPr="00310D6C">
        <w:rPr>
          <w:rFonts w:ascii="Avenir Next LT Pro" w:hAnsi="Avenir Next LT Pro" w:cs="Arial"/>
        </w:rPr>
        <w:t>,</w:t>
      </w:r>
      <w:r w:rsidRPr="00310D6C">
        <w:rPr>
          <w:rFonts w:ascii="Avenir Next LT Pro" w:hAnsi="Avenir Next LT Pro" w:cs="Arial"/>
        </w:rPr>
        <w:t xml:space="preserve"> ESG</w:t>
      </w:r>
      <w:r w:rsidR="00C15A6E" w:rsidRPr="00310D6C">
        <w:rPr>
          <w:rFonts w:ascii="Avenir Next LT Pro" w:hAnsi="Avenir Next LT Pro" w:cs="Arial"/>
        </w:rPr>
        <w:t>)</w:t>
      </w:r>
      <w:r w:rsidRPr="00310D6C">
        <w:rPr>
          <w:rFonts w:ascii="Avenir Next LT Pro" w:hAnsi="Avenir Next LT Pro" w:cs="Arial"/>
        </w:rPr>
        <w:t>.</w:t>
      </w:r>
    </w:p>
    <w:p w14:paraId="5C542123" w14:textId="5515C5D9" w:rsidR="00BD36F4" w:rsidRDefault="001D7E24" w:rsidP="002B3BAD">
      <w:pPr>
        <w:spacing w:before="120" w:after="120"/>
        <w:jc w:val="both"/>
        <w:rPr>
          <w:rFonts w:ascii="Avenir Next LT Pro" w:hAnsi="Avenir Next LT Pro" w:cs="Arial"/>
        </w:rPr>
      </w:pPr>
      <w:r w:rsidRPr="001D7E24">
        <w:rPr>
          <w:rFonts w:ascii="Avenir Next LT Pro" w:hAnsi="Avenir Next LT Pro" w:cs="Arial"/>
        </w:rPr>
        <w:t xml:space="preserve">Recientemente, la profesión contable </w:t>
      </w:r>
      <w:r w:rsidR="00FC37F7">
        <w:rPr>
          <w:rFonts w:ascii="Avenir Next LT Pro" w:hAnsi="Avenir Next LT Pro" w:cs="Arial"/>
        </w:rPr>
        <w:t>por medio</w:t>
      </w:r>
      <w:r w:rsidRPr="001D7E24">
        <w:rPr>
          <w:rFonts w:ascii="Avenir Next LT Pro" w:hAnsi="Avenir Next LT Pro" w:cs="Arial"/>
        </w:rPr>
        <w:t xml:space="preserve"> de </w:t>
      </w:r>
      <w:r w:rsidRPr="00051001">
        <w:rPr>
          <w:rFonts w:ascii="Avenir Next LT Pro" w:hAnsi="Avenir Next LT Pro" w:cs="Arial"/>
          <w:b/>
          <w:bCs/>
        </w:rPr>
        <w:t xml:space="preserve">la </w:t>
      </w:r>
      <w:r w:rsidR="00051001" w:rsidRPr="00051001">
        <w:rPr>
          <w:rFonts w:ascii="Avenir Next LT Pro" w:hAnsi="Avenir Next LT Pro" w:cs="Arial"/>
          <w:b/>
          <w:bCs/>
        </w:rPr>
        <w:t>F</w:t>
      </w:r>
      <w:r w:rsidRPr="00051001">
        <w:rPr>
          <w:rFonts w:ascii="Avenir Next LT Pro" w:hAnsi="Avenir Next LT Pro" w:cs="Arial"/>
          <w:b/>
          <w:bCs/>
        </w:rPr>
        <w:t>undación IFRS</w:t>
      </w:r>
      <w:r w:rsidRPr="001D7E24">
        <w:rPr>
          <w:rFonts w:ascii="Avenir Next LT Pro" w:hAnsi="Avenir Next LT Pro" w:cs="Arial"/>
        </w:rPr>
        <w:t xml:space="preserve">, órgano emisor de las Normas Internacionales de Información Financiera, </w:t>
      </w:r>
      <w:r w:rsidRPr="00051001">
        <w:rPr>
          <w:rFonts w:ascii="Avenir Next LT Pro" w:hAnsi="Avenir Next LT Pro" w:cs="Arial"/>
          <w:b/>
          <w:bCs/>
        </w:rPr>
        <w:t>creó el Consejo de las Normas Internacionales de Sostenibilidad</w:t>
      </w:r>
      <w:r w:rsidR="00051001">
        <w:rPr>
          <w:rFonts w:ascii="Avenir Next LT Pro" w:hAnsi="Avenir Next LT Pro" w:cs="Arial"/>
        </w:rPr>
        <w:t>.</w:t>
      </w:r>
      <w:r w:rsidRPr="001D7E24">
        <w:rPr>
          <w:rFonts w:ascii="Avenir Next LT Pro" w:hAnsi="Avenir Next LT Pro" w:cs="Arial"/>
        </w:rPr>
        <w:t xml:space="preserve"> </w:t>
      </w:r>
      <w:r w:rsidR="00051001">
        <w:rPr>
          <w:rFonts w:ascii="Avenir Next LT Pro" w:hAnsi="Avenir Next LT Pro" w:cs="Arial"/>
        </w:rPr>
        <w:t>D</w:t>
      </w:r>
      <w:r w:rsidRPr="001D7E24">
        <w:rPr>
          <w:rFonts w:ascii="Avenir Next LT Pro" w:hAnsi="Avenir Next LT Pro" w:cs="Arial"/>
        </w:rPr>
        <w:t xml:space="preserve">ichas normas se encuentran en periodo de revisión después de haber sido sujetas de auscultación el año pasado, y se estima que las normas definitivas sean emitidas en junio de este año para su entrada en vigor en enero de 2024. Se trata de dos normas que buscan proporcionar a los inversionistas y acreedores la información necesaria para una correcta toma de decisiones. La primera norma </w:t>
      </w:r>
      <w:r w:rsidR="00AE3DE7">
        <w:rPr>
          <w:rFonts w:ascii="Avenir Next LT Pro" w:hAnsi="Avenir Next LT Pro" w:cs="Arial"/>
        </w:rPr>
        <w:t>determina</w:t>
      </w:r>
      <w:r w:rsidRPr="001D7E24">
        <w:rPr>
          <w:rFonts w:ascii="Avenir Next LT Pro" w:hAnsi="Avenir Next LT Pro" w:cs="Arial"/>
        </w:rPr>
        <w:t xml:space="preserve"> los requisitos básicos a revelar en materia de sostenibilidad en general y la segunda, más específica, establece la información a revelar en </w:t>
      </w:r>
      <w:r w:rsidR="00BD36F4">
        <w:rPr>
          <w:rFonts w:ascii="Avenir Next LT Pro" w:hAnsi="Avenir Next LT Pro" w:cs="Arial"/>
        </w:rPr>
        <w:t>materia</w:t>
      </w:r>
      <w:r w:rsidRPr="001D7E24">
        <w:rPr>
          <w:rFonts w:ascii="Avenir Next LT Pro" w:hAnsi="Avenir Next LT Pro" w:cs="Arial"/>
        </w:rPr>
        <w:t xml:space="preserve"> de cambio climático. </w:t>
      </w:r>
    </w:p>
    <w:p w14:paraId="6DFE3EBC" w14:textId="72DC97B6" w:rsidR="001D7E24" w:rsidRPr="001D7E24" w:rsidRDefault="001D7E24" w:rsidP="002B3BAD">
      <w:pPr>
        <w:spacing w:before="120" w:after="120"/>
        <w:jc w:val="both"/>
        <w:rPr>
          <w:rFonts w:ascii="Avenir Next LT Pro" w:hAnsi="Avenir Next LT Pro" w:cs="Arial"/>
        </w:rPr>
      </w:pPr>
      <w:r w:rsidRPr="001D7E24">
        <w:rPr>
          <w:rFonts w:ascii="Avenir Next LT Pro" w:hAnsi="Avenir Next LT Pro" w:cs="Arial"/>
        </w:rPr>
        <w:lastRenderedPageBreak/>
        <w:t xml:space="preserve">Por su parte el CINIF, órgano emisor de la normatividad contable en nuestro país, dio a conocer en su plan de trabajo la emisión del borrador de las </w:t>
      </w:r>
      <w:r w:rsidR="00BD36F4">
        <w:rPr>
          <w:rFonts w:ascii="Avenir Next LT Pro" w:hAnsi="Avenir Next LT Pro" w:cs="Arial"/>
        </w:rPr>
        <w:t>N</w:t>
      </w:r>
      <w:r w:rsidRPr="001D7E24">
        <w:rPr>
          <w:rFonts w:ascii="Avenir Next LT Pro" w:hAnsi="Avenir Next LT Pro" w:cs="Arial"/>
        </w:rPr>
        <w:t xml:space="preserve">ormas de </w:t>
      </w:r>
      <w:r w:rsidR="00BD36F4">
        <w:rPr>
          <w:rFonts w:ascii="Avenir Next LT Pro" w:hAnsi="Avenir Next LT Pro" w:cs="Arial"/>
        </w:rPr>
        <w:t>S</w:t>
      </w:r>
      <w:r w:rsidRPr="001D7E24">
        <w:rPr>
          <w:rFonts w:ascii="Avenir Next LT Pro" w:hAnsi="Avenir Next LT Pro" w:cs="Arial"/>
        </w:rPr>
        <w:t>ostenibilidad para finales de 2023</w:t>
      </w:r>
      <w:r w:rsidR="00BD36F4">
        <w:rPr>
          <w:rFonts w:ascii="Avenir Next LT Pro" w:hAnsi="Avenir Next LT Pro" w:cs="Arial"/>
        </w:rPr>
        <w:t>,</w:t>
      </w:r>
      <w:r w:rsidRPr="001D7E24">
        <w:rPr>
          <w:rFonts w:ascii="Avenir Next LT Pro" w:hAnsi="Avenir Next LT Pro" w:cs="Arial"/>
        </w:rPr>
        <w:t xml:space="preserve"> y se estima que la entrada en vigor sea en enero de 2025.</w:t>
      </w:r>
    </w:p>
    <w:p w14:paraId="4DB9AE74" w14:textId="6B2260D5" w:rsidR="001D7E24" w:rsidRPr="001D7E24" w:rsidRDefault="001D7E24" w:rsidP="002B3BAD">
      <w:pPr>
        <w:spacing w:before="120" w:after="120"/>
        <w:jc w:val="both"/>
        <w:rPr>
          <w:rFonts w:ascii="Avenir Next LT Pro" w:hAnsi="Avenir Next LT Pro" w:cs="Arial"/>
        </w:rPr>
      </w:pPr>
      <w:r w:rsidRPr="001D7E24">
        <w:rPr>
          <w:rFonts w:ascii="Avenir Next LT Pro" w:hAnsi="Avenir Next LT Pro" w:cs="Arial"/>
        </w:rPr>
        <w:t xml:space="preserve">De manera particular, </w:t>
      </w:r>
      <w:r w:rsidRPr="00351D1D">
        <w:rPr>
          <w:rFonts w:ascii="Avenir Next LT Pro" w:hAnsi="Avenir Next LT Pro" w:cs="Arial"/>
          <w:b/>
          <w:bCs/>
        </w:rPr>
        <w:t>el IMCP</w:t>
      </w:r>
      <w:r w:rsidRPr="001D7E24">
        <w:rPr>
          <w:rFonts w:ascii="Avenir Next LT Pro" w:hAnsi="Avenir Next LT Pro" w:cs="Arial"/>
        </w:rPr>
        <w:t xml:space="preserve"> alineando sus esfuerzos con las actividades a </w:t>
      </w:r>
      <w:r w:rsidR="00373902">
        <w:rPr>
          <w:rFonts w:ascii="Avenir Next LT Pro" w:hAnsi="Avenir Next LT Pro" w:cs="Arial"/>
        </w:rPr>
        <w:t>escala</w:t>
      </w:r>
      <w:r w:rsidRPr="001D7E24">
        <w:rPr>
          <w:rFonts w:ascii="Avenir Next LT Pro" w:hAnsi="Avenir Next LT Pro" w:cs="Arial"/>
        </w:rPr>
        <w:t xml:space="preserve"> nacional e internacional</w:t>
      </w:r>
      <w:r w:rsidR="00351D1D">
        <w:rPr>
          <w:rFonts w:ascii="Avenir Next LT Pro" w:hAnsi="Avenir Next LT Pro" w:cs="Arial"/>
        </w:rPr>
        <w:t>,</w:t>
      </w:r>
      <w:r w:rsidRPr="001D7E24">
        <w:rPr>
          <w:rFonts w:ascii="Avenir Next LT Pro" w:hAnsi="Avenir Next LT Pro" w:cs="Arial"/>
        </w:rPr>
        <w:t xml:space="preserve"> </w:t>
      </w:r>
      <w:r w:rsidRPr="00351D1D">
        <w:rPr>
          <w:rFonts w:ascii="Avenir Next LT Pro" w:hAnsi="Avenir Next LT Pro" w:cs="Arial"/>
          <w:b/>
          <w:bCs/>
        </w:rPr>
        <w:t>ha creado la Comisión de Sostenibilidad en la que se revisan estos temas y su afectación en la situación financiera de las empresas</w:t>
      </w:r>
      <w:r w:rsidR="00351D1D">
        <w:rPr>
          <w:rFonts w:ascii="Avenir Next LT Pro" w:hAnsi="Avenir Next LT Pro" w:cs="Arial"/>
        </w:rPr>
        <w:t>.</w:t>
      </w:r>
      <w:r w:rsidRPr="001D7E24">
        <w:rPr>
          <w:rFonts w:ascii="Avenir Next LT Pro" w:hAnsi="Avenir Next LT Pro" w:cs="Arial"/>
        </w:rPr>
        <w:t xml:space="preserve"> </w:t>
      </w:r>
      <w:r w:rsidR="00351D1D">
        <w:rPr>
          <w:rFonts w:ascii="Avenir Next LT Pro" w:hAnsi="Avenir Next LT Pro" w:cs="Arial"/>
        </w:rPr>
        <w:t>E</w:t>
      </w:r>
      <w:r w:rsidRPr="001D7E24">
        <w:rPr>
          <w:rFonts w:ascii="Avenir Next LT Pro" w:hAnsi="Avenir Next LT Pro" w:cs="Arial"/>
        </w:rPr>
        <w:t>sta acción se ha ido replicando también en las Federadas</w:t>
      </w:r>
      <w:r w:rsidR="001E6B84">
        <w:rPr>
          <w:rFonts w:ascii="Avenir Next LT Pro" w:hAnsi="Avenir Next LT Pro" w:cs="Arial"/>
        </w:rPr>
        <w:t xml:space="preserve">, </w:t>
      </w:r>
      <w:r w:rsidR="00C206C0">
        <w:rPr>
          <w:rFonts w:ascii="Avenir Next LT Pro" w:hAnsi="Avenir Next LT Pro" w:cs="Arial"/>
        </w:rPr>
        <w:t>mediante</w:t>
      </w:r>
      <w:r w:rsidRPr="001D7E24">
        <w:rPr>
          <w:rFonts w:ascii="Avenir Next LT Pro" w:hAnsi="Avenir Next LT Pro" w:cs="Arial"/>
        </w:rPr>
        <w:t xml:space="preserve"> foros </w:t>
      </w:r>
      <w:r w:rsidR="001E6B84">
        <w:rPr>
          <w:rFonts w:ascii="Avenir Next LT Pro" w:hAnsi="Avenir Next LT Pro" w:cs="Arial"/>
        </w:rPr>
        <w:t>dedicados a</w:t>
      </w:r>
      <w:r w:rsidRPr="001D7E24">
        <w:rPr>
          <w:rFonts w:ascii="Avenir Next LT Pro" w:hAnsi="Avenir Next LT Pro" w:cs="Arial"/>
        </w:rPr>
        <w:t xml:space="preserve"> temas sobre finanzas sostenibles, economía circular y responsabilidad social empresarial. También se cuenta con un número considerable de publicaciones en la revista </w:t>
      </w:r>
      <w:r w:rsidRPr="001E6B84">
        <w:rPr>
          <w:rFonts w:ascii="Avenir Next LT Pro" w:hAnsi="Avenir Next LT Pro" w:cs="Arial"/>
          <w:i/>
          <w:iCs/>
        </w:rPr>
        <w:t>Contaduría Pública</w:t>
      </w:r>
      <w:r w:rsidRPr="001D7E24">
        <w:rPr>
          <w:rFonts w:ascii="Avenir Next LT Pro" w:hAnsi="Avenir Next LT Pro" w:cs="Arial"/>
        </w:rPr>
        <w:t>, y se participa en foros con otras organizaciones que persiguen el mismo fin.</w:t>
      </w:r>
    </w:p>
    <w:p w14:paraId="6766713A" w14:textId="0610B5AB" w:rsidR="001D7E24" w:rsidRPr="001D7E24" w:rsidRDefault="009D0ABB" w:rsidP="002B3BAD">
      <w:pPr>
        <w:spacing w:before="120" w:after="120"/>
        <w:jc w:val="both"/>
        <w:rPr>
          <w:rFonts w:ascii="Avenir Next LT Pro" w:hAnsi="Avenir Next LT Pro" w:cs="Arial"/>
        </w:rPr>
      </w:pPr>
      <w:r>
        <w:rPr>
          <w:rFonts w:ascii="Avenir Next LT Pro" w:hAnsi="Avenir Next LT Pro" w:cs="Arial"/>
        </w:rPr>
        <w:t>De este modo,</w:t>
      </w:r>
      <w:r w:rsidR="001D7E24" w:rsidRPr="001D7E24">
        <w:rPr>
          <w:rFonts w:ascii="Avenir Next LT Pro" w:hAnsi="Avenir Next LT Pro" w:cs="Arial"/>
        </w:rPr>
        <w:t xml:space="preserve"> </w:t>
      </w:r>
      <w:r w:rsidR="001D7E24" w:rsidRPr="001E6B84">
        <w:rPr>
          <w:rFonts w:ascii="Avenir Next LT Pro" w:hAnsi="Avenir Next LT Pro" w:cs="Arial"/>
          <w:b/>
          <w:bCs/>
        </w:rPr>
        <w:t>los Contadores Públicos preocupados por el futuro de las empresas que asesoramos, nos sumamos a los esfuerzos mundiales por alcanzar los ODS</w:t>
      </w:r>
      <w:r w:rsidR="001D7E24" w:rsidRPr="001D7E24">
        <w:rPr>
          <w:rFonts w:ascii="Avenir Next LT Pro" w:hAnsi="Avenir Next LT Pro" w:cs="Arial"/>
        </w:rPr>
        <w:t>.</w:t>
      </w:r>
    </w:p>
    <w:p w14:paraId="24DFD374" w14:textId="39BFDA24" w:rsidR="00837124" w:rsidRDefault="00837124" w:rsidP="002B3BAD">
      <w:pPr>
        <w:spacing w:before="120" w:after="120"/>
        <w:jc w:val="right"/>
        <w:rPr>
          <w:rFonts w:ascii="Avenir Next LT Pro" w:hAnsi="Avenir Next LT Pro" w:cs="Arial"/>
          <w:b/>
          <w:bCs/>
        </w:rPr>
      </w:pPr>
    </w:p>
    <w:p w14:paraId="063DF58C" w14:textId="77777777" w:rsidR="002B3BAD" w:rsidRPr="002B3BAD" w:rsidRDefault="002B3BAD" w:rsidP="00EA55BD">
      <w:pPr>
        <w:ind w:left="284"/>
        <w:jc w:val="right"/>
        <w:rPr>
          <w:rFonts w:ascii="Avenir Next LT Pro" w:hAnsi="Avenir Next LT Pro" w:cs="Arial"/>
          <w:b/>
          <w:bCs/>
        </w:rPr>
      </w:pPr>
      <w:r w:rsidRPr="002B3BAD">
        <w:rPr>
          <w:rFonts w:ascii="Avenir Next LT Pro" w:hAnsi="Avenir Next LT Pro" w:cs="Arial"/>
          <w:b/>
          <w:bCs/>
        </w:rPr>
        <w:t>C.P.C. Leobardo Brizuela Arce</w:t>
      </w:r>
    </w:p>
    <w:p w14:paraId="1201B2B6" w14:textId="77777777" w:rsidR="002B3BAD" w:rsidRPr="00812238" w:rsidRDefault="002B3BAD" w:rsidP="00EA55BD">
      <w:pPr>
        <w:ind w:left="284"/>
        <w:jc w:val="right"/>
        <w:rPr>
          <w:rFonts w:ascii="Avenir Next LT Pro" w:hAnsi="Avenir Next LT Pro" w:cs="Arial"/>
        </w:rPr>
      </w:pPr>
      <w:r w:rsidRPr="00812238">
        <w:rPr>
          <w:rFonts w:ascii="Avenir Next LT Pro" w:hAnsi="Avenir Next LT Pro" w:cs="Arial"/>
        </w:rPr>
        <w:t>Expresidente del IMCP</w:t>
      </w:r>
    </w:p>
    <w:p w14:paraId="1020581E" w14:textId="1924527B" w:rsidR="00837124" w:rsidRDefault="00837124" w:rsidP="00F45288">
      <w:pPr>
        <w:spacing w:before="120" w:after="120"/>
        <w:jc w:val="center"/>
        <w:rPr>
          <w:rFonts w:ascii="Avenir Next LT Pro" w:hAnsi="Avenir Next LT Pro" w:cs="Arial"/>
          <w:b/>
          <w:bCs/>
        </w:rPr>
      </w:pPr>
    </w:p>
    <w:p w14:paraId="75C254CC" w14:textId="7BF07F00" w:rsidR="00837124" w:rsidRDefault="002B3BAD" w:rsidP="002B3BAD">
      <w:pPr>
        <w:spacing w:before="120" w:after="120"/>
        <w:jc w:val="center"/>
        <w:rPr>
          <w:rFonts w:ascii="Avenir Next LT Pro" w:hAnsi="Avenir Next LT Pro" w:cs="Arial"/>
          <w:b/>
          <w:sz w:val="22"/>
          <w:szCs w:val="22"/>
        </w:rPr>
      </w:pPr>
      <w:r w:rsidRPr="00BD1335">
        <w:rPr>
          <w:rFonts w:ascii="Avenir Next LT Pro" w:hAnsi="Avenir Next LT Pro" w:cs="Arial"/>
          <w:b/>
          <w:bCs/>
        </w:rPr>
        <w:t>***</w:t>
      </w:r>
      <w:r w:rsidR="00837124">
        <w:rPr>
          <w:rFonts w:ascii="Avenir Next LT Pro" w:hAnsi="Avenir Next LT Pro" w:cs="Arial"/>
          <w:b/>
          <w:sz w:val="22"/>
          <w:szCs w:val="22"/>
        </w:rPr>
        <w:br w:type="page"/>
      </w:r>
    </w:p>
    <w:p w14:paraId="0D85EEF9" w14:textId="3E7E2B76" w:rsidR="00AA4FBC" w:rsidRPr="002D3AE0" w:rsidRDefault="00AA4FBC" w:rsidP="000D0C58">
      <w:pPr>
        <w:spacing w:before="120" w:after="120"/>
        <w:ind w:left="-142"/>
        <w:jc w:val="center"/>
        <w:rPr>
          <w:rFonts w:ascii="Avenir Next LT Pro" w:hAnsi="Avenir Next LT Pro" w:cs="Arial"/>
          <w:b/>
          <w:bCs/>
          <w:sz w:val="25"/>
          <w:szCs w:val="25"/>
        </w:rPr>
      </w:pPr>
      <w:r w:rsidRPr="002D3AE0">
        <w:rPr>
          <w:rFonts w:ascii="Avenir Next LT Pro" w:hAnsi="Avenir Next LT Pro" w:cs="Arial"/>
          <w:b/>
          <w:bCs/>
          <w:sz w:val="25"/>
          <w:szCs w:val="25"/>
        </w:rPr>
        <w:lastRenderedPageBreak/>
        <w:t>ÍNDICE MEXICANO DE CONFIANZA ECONÓMICA (IMCE)</w:t>
      </w:r>
    </w:p>
    <w:p w14:paraId="736F3D0C" w14:textId="02842692" w:rsidR="00AA4FBC" w:rsidRDefault="00AA4FBC" w:rsidP="000D0C58">
      <w:pPr>
        <w:spacing w:before="120" w:after="120"/>
        <w:ind w:left="-142"/>
        <w:jc w:val="center"/>
        <w:rPr>
          <w:rFonts w:ascii="Avenir Next LT Pro" w:hAnsi="Avenir Next LT Pro" w:cs="Arial"/>
          <w:b/>
          <w:bCs/>
        </w:rPr>
      </w:pPr>
      <w:r w:rsidRPr="002D3AE0">
        <w:rPr>
          <w:rFonts w:ascii="Avenir Next LT Pro" w:hAnsi="Avenir Next LT Pro" w:cs="Arial"/>
          <w:b/>
          <w:bCs/>
        </w:rPr>
        <w:t xml:space="preserve">Reporte </w:t>
      </w:r>
      <w:r w:rsidR="00B66BC6" w:rsidRPr="002D3AE0">
        <w:rPr>
          <w:rFonts w:ascii="Avenir Next LT Pro" w:hAnsi="Avenir Next LT Pro" w:cs="Arial"/>
          <w:b/>
          <w:bCs/>
        </w:rPr>
        <w:t>d</w:t>
      </w:r>
      <w:r w:rsidRPr="002D3AE0">
        <w:rPr>
          <w:rFonts w:ascii="Avenir Next LT Pro" w:hAnsi="Avenir Next LT Pro" w:cs="Arial"/>
          <w:b/>
          <w:bCs/>
        </w:rPr>
        <w:t xml:space="preserve">el mes de </w:t>
      </w:r>
      <w:r w:rsidR="00712441" w:rsidRPr="002D3AE0">
        <w:rPr>
          <w:rFonts w:ascii="Avenir Next LT Pro" w:hAnsi="Avenir Next LT Pro" w:cs="Arial"/>
          <w:b/>
          <w:bCs/>
        </w:rPr>
        <w:t>febrer</w:t>
      </w:r>
      <w:r w:rsidR="002D3AE0">
        <w:rPr>
          <w:rFonts w:ascii="Avenir Next LT Pro" w:hAnsi="Avenir Next LT Pro" w:cs="Arial"/>
          <w:b/>
          <w:bCs/>
        </w:rPr>
        <w:t>o</w:t>
      </w:r>
      <w:r w:rsidR="00DA15C7" w:rsidRPr="002D3AE0">
        <w:rPr>
          <w:rFonts w:ascii="Avenir Next LT Pro" w:hAnsi="Avenir Next LT Pro" w:cs="Arial"/>
          <w:b/>
          <w:bCs/>
        </w:rPr>
        <w:t xml:space="preserve"> de</w:t>
      </w:r>
      <w:r w:rsidRPr="002D3AE0">
        <w:rPr>
          <w:rFonts w:ascii="Avenir Next LT Pro" w:hAnsi="Avenir Next LT Pro" w:cs="Arial"/>
          <w:b/>
          <w:bCs/>
        </w:rPr>
        <w:t xml:space="preserve"> 202</w:t>
      </w:r>
      <w:r w:rsidR="00382974" w:rsidRPr="002D3AE0">
        <w:rPr>
          <w:rFonts w:ascii="Avenir Next LT Pro" w:hAnsi="Avenir Next LT Pro" w:cs="Arial"/>
          <w:b/>
          <w:bCs/>
        </w:rPr>
        <w:t>3</w:t>
      </w:r>
    </w:p>
    <w:p w14:paraId="225B1308" w14:textId="77777777" w:rsidR="00A93CE7" w:rsidRDefault="00A93CE7" w:rsidP="000D0C58">
      <w:pPr>
        <w:widowControl w:val="0"/>
        <w:spacing w:before="120" w:after="120"/>
        <w:ind w:left="-142"/>
        <w:jc w:val="both"/>
        <w:rPr>
          <w:rFonts w:ascii="Avenir Next LT Pro" w:hAnsi="Avenir Next LT Pro" w:cs="Arial"/>
          <w:lang w:val="es-MX"/>
        </w:rPr>
      </w:pPr>
    </w:p>
    <w:p w14:paraId="5C717D29" w14:textId="77777777" w:rsidR="00E12C46" w:rsidRPr="00E12C46" w:rsidRDefault="00E12C46" w:rsidP="00E12C46">
      <w:pPr>
        <w:widowControl w:val="0"/>
        <w:jc w:val="both"/>
        <w:rPr>
          <w:rFonts w:ascii="Avenir Next LT Pro" w:hAnsi="Avenir Next LT Pro" w:cstheme="majorHAnsi"/>
          <w:b/>
          <w:i/>
        </w:rPr>
      </w:pPr>
      <w:r w:rsidRPr="00E12C46">
        <w:rPr>
          <w:rFonts w:ascii="Avenir Next LT Pro" w:hAnsi="Avenir Next LT Pro" w:cstheme="majorHAnsi"/>
          <w:b/>
          <w:i/>
        </w:rPr>
        <w:t>El Índice Mexicano de Confianza Económica se recuperó en febrero de 2023, registrando el mejor nivel de los últimos catorce meses.</w:t>
      </w:r>
    </w:p>
    <w:p w14:paraId="08DB7706" w14:textId="0B01DDA4" w:rsidR="00E12C46" w:rsidRPr="00E12C46" w:rsidRDefault="00E12C46" w:rsidP="00E12C46">
      <w:pPr>
        <w:widowControl w:val="0"/>
        <w:jc w:val="both"/>
        <w:rPr>
          <w:rFonts w:ascii="Avenir Next LT Pro" w:hAnsi="Avenir Next LT Pro" w:cstheme="majorHAnsi"/>
        </w:rPr>
      </w:pPr>
    </w:p>
    <w:p w14:paraId="6671CE96" w14:textId="282EEF24" w:rsidR="00E12C46" w:rsidRPr="00E12C46" w:rsidRDefault="00E12C46" w:rsidP="00E12C46">
      <w:pPr>
        <w:widowControl w:val="0"/>
        <w:spacing w:after="120" w:line="276" w:lineRule="auto"/>
        <w:jc w:val="both"/>
        <w:rPr>
          <w:rFonts w:ascii="Avenir Next LT Pro" w:hAnsi="Avenir Next LT Pro" w:cs="Calibri"/>
          <w:b/>
        </w:rPr>
      </w:pPr>
      <w:r w:rsidRPr="00E12C46">
        <w:rPr>
          <w:rFonts w:ascii="Avenir Next LT Pro" w:hAnsi="Avenir Next LT Pro" w:cs="Calibri"/>
          <w:b/>
        </w:rPr>
        <w:t>El IMCE de febrero presentó un incremento mensual de 3.57</w:t>
      </w:r>
      <w:r w:rsidRPr="00E12C46">
        <w:rPr>
          <w:rFonts w:ascii="Avenir Next LT Pro" w:hAnsi="Avenir Next LT Pro" w:cs="Calibri"/>
          <w:bCs/>
        </w:rPr>
        <w:t xml:space="preserve">%, elevándose a las 74.76 unidades desde los 72.18 puntos del mes anterior. </w:t>
      </w:r>
      <w:r w:rsidRPr="00E12C46">
        <w:rPr>
          <w:rFonts w:ascii="Avenir Next LT Pro" w:hAnsi="Avenir Next LT Pro" w:cs="Calibri"/>
          <w:b/>
        </w:rPr>
        <w:t xml:space="preserve">Esto </w:t>
      </w:r>
      <w:r w:rsidR="00B53A97">
        <w:rPr>
          <w:rFonts w:ascii="Avenir Next LT Pro" w:hAnsi="Avenir Next LT Pro" w:cs="Calibri"/>
          <w:b/>
        </w:rPr>
        <w:t xml:space="preserve">se </w:t>
      </w:r>
      <w:r w:rsidRPr="00E12C46">
        <w:rPr>
          <w:rFonts w:ascii="Avenir Next LT Pro" w:hAnsi="Avenir Next LT Pro" w:cs="Calibri"/>
          <w:b/>
        </w:rPr>
        <w:t xml:space="preserve">derivó de un fuerte salto en la </w:t>
      </w:r>
      <w:r w:rsidR="00A61826" w:rsidRPr="00E12C46">
        <w:rPr>
          <w:rFonts w:ascii="Avenir Next LT Pro" w:hAnsi="Avenir Next LT Pro" w:cs="Calibri"/>
          <w:b/>
        </w:rPr>
        <w:t>situación actual</w:t>
      </w:r>
      <w:r w:rsidRPr="00E12C46">
        <w:rPr>
          <w:rFonts w:ascii="Avenir Next LT Pro" w:hAnsi="Avenir Next LT Pro" w:cs="Calibri"/>
          <w:b/>
        </w:rPr>
        <w:t xml:space="preserve">, </w:t>
      </w:r>
      <w:r w:rsidRPr="00E12C46">
        <w:rPr>
          <w:rFonts w:ascii="Avenir Next LT Pro" w:hAnsi="Avenir Next LT Pro" w:cs="Calibri"/>
          <w:bCs/>
        </w:rPr>
        <w:t>la cual marcó un ascenso de 6.83% quedando en 70.77 puntos con 4.52 puntos más que enero. En el mismo sentido,</w:t>
      </w:r>
      <w:r w:rsidRPr="00E12C46">
        <w:rPr>
          <w:rFonts w:ascii="Avenir Next LT Pro" w:hAnsi="Avenir Next LT Pro" w:cs="Calibri"/>
          <w:b/>
        </w:rPr>
        <w:t xml:space="preserve"> la </w:t>
      </w:r>
      <w:r w:rsidR="00A61826" w:rsidRPr="00E12C46">
        <w:rPr>
          <w:rFonts w:ascii="Avenir Next LT Pro" w:hAnsi="Avenir Next LT Pro" w:cs="Calibri"/>
          <w:b/>
        </w:rPr>
        <w:t>situación futura</w:t>
      </w:r>
      <w:r w:rsidRPr="00E12C46">
        <w:rPr>
          <w:rFonts w:ascii="Avenir Next LT Pro" w:hAnsi="Avenir Next LT Pro" w:cs="Calibri"/>
          <w:b/>
        </w:rPr>
        <w:t xml:space="preserve">, que representa la confianza en los próximos seis meses, tuvo un avance de 0.18% </w:t>
      </w:r>
      <w:r w:rsidRPr="00E12C46">
        <w:rPr>
          <w:rFonts w:ascii="Avenir Next LT Pro" w:hAnsi="Avenir Next LT Pro" w:cs="Calibri"/>
          <w:bCs/>
        </w:rPr>
        <w:t>pasando de 79.60 puntos de enero a 79.75 puntos.</w:t>
      </w:r>
    </w:p>
    <w:p w14:paraId="3225B9FF" w14:textId="1D74A870" w:rsidR="005558BD" w:rsidRDefault="00705147" w:rsidP="002B136B">
      <w:pPr>
        <w:widowControl w:val="0"/>
        <w:spacing w:before="120" w:after="120"/>
        <w:ind w:left="-142"/>
        <w:jc w:val="center"/>
        <w:rPr>
          <w:rFonts w:ascii="Avenir Next LT Pro" w:hAnsi="Avenir Next LT Pro" w:cs="Calibri"/>
          <w:b/>
        </w:rPr>
      </w:pPr>
      <w:r w:rsidRPr="00CF6250">
        <w:rPr>
          <w:noProof/>
        </w:rPr>
        <w:drawing>
          <wp:inline distT="0" distB="0" distL="0" distR="0" wp14:anchorId="1F6EA0F0" wp14:editId="1E3C859B">
            <wp:extent cx="6012873" cy="1394023"/>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429" cy="1403657"/>
                    </a:xfrm>
                    <a:prstGeom prst="rect">
                      <a:avLst/>
                    </a:prstGeom>
                    <a:noFill/>
                    <a:ln>
                      <a:noFill/>
                    </a:ln>
                  </pic:spPr>
                </pic:pic>
              </a:graphicData>
            </a:graphic>
          </wp:inline>
        </w:drawing>
      </w:r>
    </w:p>
    <w:p w14:paraId="6C5D34C4" w14:textId="77777777" w:rsidR="005558BD" w:rsidRPr="008011B0" w:rsidRDefault="005558BD" w:rsidP="005558BD">
      <w:pPr>
        <w:widowControl w:val="0"/>
        <w:spacing w:before="120" w:after="120"/>
        <w:ind w:left="-142"/>
        <w:jc w:val="both"/>
        <w:rPr>
          <w:rFonts w:ascii="Avenir Next LT Pro" w:hAnsi="Avenir Next LT Pro" w:cs="Calibri"/>
          <w:b/>
        </w:rPr>
      </w:pPr>
    </w:p>
    <w:p w14:paraId="5621FFC1" w14:textId="6052A503" w:rsidR="006215B0" w:rsidRPr="006215B0" w:rsidRDefault="006215B0" w:rsidP="006D768C">
      <w:pPr>
        <w:widowControl w:val="0"/>
        <w:spacing w:after="120" w:line="276" w:lineRule="auto"/>
        <w:jc w:val="both"/>
        <w:rPr>
          <w:rFonts w:ascii="Avenir Next LT Pro" w:hAnsi="Avenir Next LT Pro" w:cs="Calibri"/>
          <w:b/>
          <w:spacing w:val="-4"/>
        </w:rPr>
      </w:pPr>
      <w:r w:rsidRPr="006215B0">
        <w:rPr>
          <w:rFonts w:ascii="Avenir Next LT Pro" w:hAnsi="Avenir Next LT Pro" w:cs="Calibri"/>
          <w:b/>
          <w:spacing w:val="-4"/>
        </w:rPr>
        <w:t>En comparación con febrero de 2022, el IMCE marcó una tasa anual de 10.56%</w:t>
      </w:r>
      <w:r w:rsidRPr="006215B0">
        <w:rPr>
          <w:rFonts w:ascii="Avenir Next LT Pro" w:hAnsi="Avenir Next LT Pro" w:cs="Calibri"/>
          <w:bCs/>
          <w:spacing w:val="-4"/>
        </w:rPr>
        <w:t xml:space="preserve">, derivado de un aumento de 11.63% en la </w:t>
      </w:r>
      <w:r w:rsidR="00FB3402" w:rsidRPr="006215B0">
        <w:rPr>
          <w:rFonts w:ascii="Avenir Next LT Pro" w:hAnsi="Avenir Next LT Pro" w:cs="Calibri"/>
          <w:bCs/>
          <w:spacing w:val="-4"/>
        </w:rPr>
        <w:t>situación actual y de 9.40% en la situación futura</w:t>
      </w:r>
      <w:r w:rsidRPr="006215B0">
        <w:rPr>
          <w:rFonts w:ascii="Avenir Next LT Pro" w:hAnsi="Avenir Next LT Pro" w:cs="Calibri"/>
          <w:bCs/>
          <w:spacing w:val="-4"/>
        </w:rPr>
        <w:t>.</w:t>
      </w:r>
    </w:p>
    <w:p w14:paraId="700AEE1E" w14:textId="15C5421F" w:rsidR="005558BD" w:rsidRDefault="006D768C" w:rsidP="005558BD">
      <w:pPr>
        <w:widowControl w:val="0"/>
        <w:spacing w:before="120" w:after="120"/>
        <w:ind w:left="-142"/>
        <w:jc w:val="both"/>
        <w:rPr>
          <w:rFonts w:ascii="Avenir Next LT Pro" w:hAnsi="Avenir Next LT Pro" w:cs="Calibri"/>
          <w:b/>
        </w:rPr>
      </w:pPr>
      <w:r w:rsidRPr="00BB736B">
        <w:rPr>
          <w:noProof/>
        </w:rPr>
        <w:drawing>
          <wp:inline distT="0" distB="0" distL="0" distR="0" wp14:anchorId="4B86622C" wp14:editId="7D7113B0">
            <wp:extent cx="6117931" cy="247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7931" cy="2476800"/>
                    </a:xfrm>
                    <a:prstGeom prst="rect">
                      <a:avLst/>
                    </a:prstGeom>
                    <a:noFill/>
                    <a:ln>
                      <a:noFill/>
                    </a:ln>
                  </pic:spPr>
                </pic:pic>
              </a:graphicData>
            </a:graphic>
          </wp:inline>
        </w:drawing>
      </w:r>
    </w:p>
    <w:p w14:paraId="6E5DE9A2" w14:textId="77777777" w:rsidR="005558BD" w:rsidRDefault="005558BD" w:rsidP="005558BD">
      <w:pPr>
        <w:widowControl w:val="0"/>
        <w:spacing w:before="120" w:after="120"/>
        <w:ind w:left="-142"/>
        <w:jc w:val="center"/>
        <w:rPr>
          <w:rFonts w:ascii="Avenir Next LT Pro" w:hAnsi="Avenir Next LT Pro" w:cs="Calibri"/>
          <w:b/>
        </w:rPr>
      </w:pPr>
    </w:p>
    <w:p w14:paraId="23D8EC0E" w14:textId="77777777" w:rsidR="005558BD" w:rsidRDefault="005558BD" w:rsidP="005558BD">
      <w:pPr>
        <w:widowControl w:val="0"/>
        <w:spacing w:line="276" w:lineRule="auto"/>
        <w:jc w:val="both"/>
        <w:rPr>
          <w:rFonts w:ascii="Avenir Next LT Pro" w:hAnsi="Avenir Next LT Pro" w:cs="Calibri"/>
        </w:rPr>
      </w:pPr>
    </w:p>
    <w:p w14:paraId="08B3133B" w14:textId="77777777" w:rsidR="00005869" w:rsidRPr="00005869" w:rsidRDefault="00005869" w:rsidP="00005869">
      <w:pPr>
        <w:widowControl w:val="0"/>
        <w:spacing w:line="276" w:lineRule="auto"/>
        <w:jc w:val="both"/>
        <w:rPr>
          <w:rFonts w:ascii="Avenir Next LT Pro" w:hAnsi="Avenir Next LT Pro" w:cs="Calibri"/>
        </w:rPr>
      </w:pPr>
      <w:r w:rsidRPr="00005869">
        <w:rPr>
          <w:rFonts w:ascii="Avenir Next LT Pro" w:hAnsi="Avenir Next LT Pro" w:cs="Calibri"/>
        </w:rPr>
        <w:lastRenderedPageBreak/>
        <w:t xml:space="preserve">En el segundo mes de 2023, la encuesta arrojó como </w:t>
      </w:r>
      <w:r w:rsidRPr="00005869">
        <w:rPr>
          <w:rFonts w:ascii="Avenir Next LT Pro" w:hAnsi="Avenir Next LT Pro" w:cs="Calibri"/>
          <w:b/>
          <w:bCs/>
        </w:rPr>
        <w:t>principal obstáculo al que se enfrenta la economía, a las condiciones de inseguridad en el país</w:t>
      </w:r>
      <w:r w:rsidRPr="00005869">
        <w:rPr>
          <w:rFonts w:ascii="Avenir Next LT Pro" w:hAnsi="Avenir Next LT Pro" w:cs="Calibri"/>
        </w:rPr>
        <w:t>, seguidas por la disponibilidad de financiamiento, la competencia desleal y la corrupción. En quinto lugar, se seleccionó a la falta de capital.</w:t>
      </w:r>
    </w:p>
    <w:p w14:paraId="05E119BE" w14:textId="77777777" w:rsidR="005558BD" w:rsidRPr="00430102" w:rsidRDefault="005558BD" w:rsidP="005558BD">
      <w:pPr>
        <w:widowControl w:val="0"/>
        <w:spacing w:line="276" w:lineRule="auto"/>
        <w:jc w:val="both"/>
        <w:rPr>
          <w:rFonts w:ascii="Avenir Next LT Pro" w:hAnsi="Avenir Next LT Pro" w:cs="Calibri"/>
        </w:rPr>
      </w:pPr>
    </w:p>
    <w:p w14:paraId="27A531C4" w14:textId="3E5FEC50" w:rsidR="005558BD" w:rsidRPr="0023708B" w:rsidRDefault="00FF24D0" w:rsidP="005558BD">
      <w:pPr>
        <w:widowControl w:val="0"/>
        <w:spacing w:before="120" w:after="120"/>
        <w:ind w:left="-142"/>
        <w:jc w:val="center"/>
        <w:rPr>
          <w:rFonts w:ascii="Avenir Next LT Pro" w:hAnsi="Avenir Next LT Pro" w:cs="Calibri"/>
        </w:rPr>
      </w:pPr>
      <w:r w:rsidRPr="00BB736B">
        <w:rPr>
          <w:noProof/>
        </w:rPr>
        <w:drawing>
          <wp:inline distT="0" distB="0" distL="0" distR="0" wp14:anchorId="00F98904" wp14:editId="58B070F7">
            <wp:extent cx="6190573" cy="4461163"/>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162" cy="4465190"/>
                    </a:xfrm>
                    <a:prstGeom prst="rect">
                      <a:avLst/>
                    </a:prstGeom>
                    <a:noFill/>
                    <a:ln>
                      <a:noFill/>
                    </a:ln>
                  </pic:spPr>
                </pic:pic>
              </a:graphicData>
            </a:graphic>
          </wp:inline>
        </w:drawing>
      </w:r>
    </w:p>
    <w:p w14:paraId="3C1FB168" w14:textId="40C427F9" w:rsidR="00E448D3" w:rsidRPr="00EA200F" w:rsidRDefault="00E448D3" w:rsidP="000D0C58">
      <w:pPr>
        <w:spacing w:before="120" w:after="120"/>
        <w:ind w:left="-142"/>
        <w:jc w:val="both"/>
        <w:rPr>
          <w:rFonts w:ascii="Avenir Next LT Pro" w:hAnsi="Avenir Next LT Pro" w:cs="Arial"/>
          <w:i/>
          <w:iCs/>
          <w:sz w:val="20"/>
          <w:szCs w:val="20"/>
        </w:rPr>
      </w:pPr>
      <w:r w:rsidRPr="00EA200F">
        <w:rPr>
          <w:rFonts w:ascii="Avenir Next LT Pro" w:hAnsi="Avenir Next LT Pro" w:cs="Arial"/>
          <w:i/>
          <w:iCs/>
          <w:sz w:val="20"/>
          <w:szCs w:val="20"/>
        </w:rPr>
        <w:t xml:space="preserve">El diseño, la metodología y el cálculo del IMCE han sido elaborados por </w:t>
      </w:r>
      <w:proofErr w:type="spellStart"/>
      <w:r w:rsidRPr="00EA200F">
        <w:rPr>
          <w:rFonts w:ascii="Avenir Next LT Pro" w:hAnsi="Avenir Next LT Pro" w:cs="Arial"/>
          <w:i/>
          <w:iCs/>
          <w:sz w:val="20"/>
          <w:szCs w:val="20"/>
        </w:rPr>
        <w:t>Bursamétrica</w:t>
      </w:r>
      <w:proofErr w:type="spellEnd"/>
      <w:r w:rsidRPr="00EA200F">
        <w:rPr>
          <w:rFonts w:ascii="Avenir Next LT Pro" w:hAnsi="Avenir Next LT Pro" w:cs="Arial"/>
          <w:i/>
          <w:iCs/>
          <w:sz w:val="20"/>
          <w:szCs w:val="20"/>
        </w:rPr>
        <w:t xml:space="preserve"> para el Instituto Mexicano de Contadores Públicos, A.C.</w:t>
      </w:r>
      <w:r w:rsidR="00BC18AF" w:rsidRPr="00EA200F">
        <w:rPr>
          <w:rFonts w:ascii="Avenir Next LT Pro" w:hAnsi="Avenir Next LT Pro" w:cs="Arial"/>
          <w:i/>
          <w:iCs/>
          <w:sz w:val="20"/>
          <w:szCs w:val="20"/>
        </w:rPr>
        <w:t>,</w:t>
      </w:r>
      <w:r w:rsidRPr="00EA200F">
        <w:rPr>
          <w:rFonts w:ascii="Avenir Next LT Pro" w:hAnsi="Avenir Next LT Pro" w:cs="Arial"/>
          <w:i/>
          <w:iCs/>
          <w:sz w:val="20"/>
          <w:szCs w:val="20"/>
        </w:rPr>
        <w:t xml:space="preserve"> con datos recopilados por el propio Instituto entre la membre</w:t>
      </w:r>
      <w:r w:rsidR="004D368D" w:rsidRPr="00EA200F">
        <w:rPr>
          <w:rFonts w:ascii="Avenir Next LT Pro" w:hAnsi="Avenir Next LT Pro" w:cs="Arial"/>
          <w:i/>
          <w:iCs/>
          <w:sz w:val="20"/>
          <w:szCs w:val="20"/>
        </w:rPr>
        <w:t>c</w:t>
      </w:r>
      <w:r w:rsidRPr="00EA200F">
        <w:rPr>
          <w:rFonts w:ascii="Avenir Next LT Pro" w:hAnsi="Avenir Next LT Pro" w:cs="Arial"/>
          <w:i/>
          <w:iCs/>
          <w:sz w:val="20"/>
          <w:szCs w:val="20"/>
        </w:rPr>
        <w:t xml:space="preserve">ía de los distintos Colegios de Contadores Públicos afiliados, así como aportantes de información externos. </w:t>
      </w:r>
    </w:p>
    <w:p w14:paraId="4DBC8CF8" w14:textId="2C557086" w:rsidR="004142B4" w:rsidRDefault="004142B4" w:rsidP="000D0C58">
      <w:pPr>
        <w:spacing w:before="120" w:after="120"/>
        <w:ind w:left="-142"/>
        <w:jc w:val="right"/>
        <w:rPr>
          <w:rFonts w:ascii="Avenir Next LT Pro" w:hAnsi="Avenir Next LT Pro" w:cs="Arial"/>
          <w:b/>
          <w:bCs/>
        </w:rPr>
      </w:pPr>
    </w:p>
    <w:p w14:paraId="26E5A445" w14:textId="4AB16136" w:rsidR="00E448D3" w:rsidRPr="00303194" w:rsidRDefault="00E448D3" w:rsidP="00AC5CC4">
      <w:pPr>
        <w:ind w:left="-142"/>
        <w:jc w:val="right"/>
        <w:rPr>
          <w:rFonts w:ascii="Avenir Next LT Pro" w:hAnsi="Avenir Next LT Pro" w:cs="Arial"/>
          <w:b/>
          <w:bCs/>
        </w:rPr>
      </w:pPr>
      <w:r w:rsidRPr="00303194">
        <w:rPr>
          <w:rFonts w:ascii="Avenir Next LT Pro" w:hAnsi="Avenir Next LT Pro" w:cs="Arial"/>
          <w:b/>
          <w:bCs/>
        </w:rPr>
        <w:t>Lic. Ernesto O´Farrill Santoscoy</w:t>
      </w:r>
    </w:p>
    <w:p w14:paraId="52DBBB77" w14:textId="02308503" w:rsidR="00E448D3" w:rsidRDefault="00E448D3" w:rsidP="00AC5CC4">
      <w:pPr>
        <w:ind w:left="-142"/>
        <w:jc w:val="right"/>
        <w:rPr>
          <w:rFonts w:ascii="Avenir Next LT Pro" w:hAnsi="Avenir Next LT Pro" w:cs="Arial"/>
        </w:rPr>
      </w:pPr>
      <w:r w:rsidRPr="00303194">
        <w:rPr>
          <w:rFonts w:ascii="Avenir Next LT Pro" w:hAnsi="Avenir Next LT Pro" w:cs="Arial"/>
        </w:rPr>
        <w:t>Presidente de la Comisión de Análisis Económico del IMCP</w:t>
      </w:r>
    </w:p>
    <w:p w14:paraId="1A6B76BE" w14:textId="77777777" w:rsidR="006F57E1" w:rsidRDefault="006F57E1" w:rsidP="000D0C58">
      <w:pPr>
        <w:spacing w:before="120" w:after="120"/>
        <w:ind w:left="-142"/>
        <w:jc w:val="right"/>
        <w:rPr>
          <w:rFonts w:ascii="Avenir Next LT Pro" w:hAnsi="Avenir Next LT Pro" w:cs="Arial"/>
        </w:rPr>
      </w:pPr>
    </w:p>
    <w:p w14:paraId="6805DD49" w14:textId="3DA92639" w:rsidR="006944B8" w:rsidRPr="009B67C8" w:rsidRDefault="00F33241" w:rsidP="000D0C58">
      <w:pPr>
        <w:spacing w:before="120" w:after="120"/>
        <w:jc w:val="center"/>
        <w:rPr>
          <w:rFonts w:ascii="Calibri" w:hAnsi="Calibri" w:cs="Calibri"/>
          <w:bCs/>
        </w:rPr>
      </w:pPr>
      <w:r w:rsidRPr="0037739E">
        <w:rPr>
          <w:rFonts w:ascii="Avenir Next LT Pro" w:hAnsi="Avenir Next LT Pro" w:cs="Arial"/>
          <w:b/>
          <w:bCs/>
        </w:rPr>
        <w:t>***</w:t>
      </w:r>
    </w:p>
    <w:sectPr w:rsidR="006944B8" w:rsidRPr="009B67C8" w:rsidSect="00F10DAF">
      <w:headerReference w:type="default" r:id="rId15"/>
      <w:pgSz w:w="12240" w:h="15840" w:code="126"/>
      <w:pgMar w:top="1559" w:right="1327" w:bottom="155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E45C8" w14:textId="77777777" w:rsidR="00E8713C" w:rsidRDefault="00E8713C" w:rsidP="002E4273">
      <w:r>
        <w:separator/>
      </w:r>
    </w:p>
  </w:endnote>
  <w:endnote w:type="continuationSeparator" w:id="0">
    <w:p w14:paraId="7D880FA0" w14:textId="77777777" w:rsidR="00E8713C" w:rsidRDefault="00E8713C" w:rsidP="002E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venir Next LT Pro">
    <w:altName w:val="Avenir Next LT Pro"/>
    <w:charset w:val="4D"/>
    <w:family w:val="swiss"/>
    <w:pitch w:val="variable"/>
    <w:sig w:usb0="800000EF" w:usb1="5000204A" w:usb2="00000000" w:usb3="00000000" w:csb0="00000093"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1E6C7" w14:textId="77777777" w:rsidR="00E8713C" w:rsidRDefault="00E8713C" w:rsidP="002E4273">
      <w:r>
        <w:separator/>
      </w:r>
    </w:p>
  </w:footnote>
  <w:footnote w:type="continuationSeparator" w:id="0">
    <w:p w14:paraId="41736D06" w14:textId="77777777" w:rsidR="00E8713C" w:rsidRDefault="00E8713C" w:rsidP="002E4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CDBB" w14:textId="77777777" w:rsidR="002E4273" w:rsidRDefault="002E4273">
    <w:pPr>
      <w:pStyle w:val="Encabezado"/>
    </w:pPr>
    <w:r>
      <w:rPr>
        <w:noProof/>
      </w:rPr>
      <w:drawing>
        <wp:anchor distT="0" distB="0" distL="114300" distR="114300" simplePos="0" relativeHeight="251658240" behindDoc="1" locked="0" layoutInCell="1" allowOverlap="1" wp14:anchorId="1290F2FB" wp14:editId="5DC6558F">
          <wp:simplePos x="0" y="0"/>
          <wp:positionH relativeFrom="column">
            <wp:posOffset>-803526</wp:posOffset>
          </wp:positionH>
          <wp:positionV relativeFrom="paragraph">
            <wp:posOffset>-438785</wp:posOffset>
          </wp:positionV>
          <wp:extent cx="7756246" cy="10037134"/>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Mesa de trabajo 1.jpg"/>
                  <pic:cNvPicPr/>
                </pic:nvPicPr>
                <pic:blipFill>
                  <a:blip r:embed="rId1">
                    <a:extLst>
                      <a:ext uri="{28A0092B-C50C-407E-A947-70E740481C1C}">
                        <a14:useLocalDpi xmlns:a14="http://schemas.microsoft.com/office/drawing/2010/main" val="0"/>
                      </a:ext>
                    </a:extLst>
                  </a:blip>
                  <a:stretch>
                    <a:fillRect/>
                  </a:stretch>
                </pic:blipFill>
                <pic:spPr>
                  <a:xfrm>
                    <a:off x="0" y="0"/>
                    <a:ext cx="7756246" cy="100371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699"/>
    <w:multiLevelType w:val="hybridMultilevel"/>
    <w:tmpl w:val="5BD68F9C"/>
    <w:lvl w:ilvl="0" w:tplc="BD68E21C">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1621E5"/>
    <w:multiLevelType w:val="hybridMultilevel"/>
    <w:tmpl w:val="19460B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080C07"/>
    <w:multiLevelType w:val="hybridMultilevel"/>
    <w:tmpl w:val="4E9636E0"/>
    <w:lvl w:ilvl="0" w:tplc="BD68E21C">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32115"/>
    <w:multiLevelType w:val="hybridMultilevel"/>
    <w:tmpl w:val="8E2A7FC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0194852"/>
    <w:multiLevelType w:val="hybridMultilevel"/>
    <w:tmpl w:val="08A60200"/>
    <w:lvl w:ilvl="0" w:tplc="4F003E9A">
      <w:start w:val="1"/>
      <w:numFmt w:val="lowerLetter"/>
      <w:lvlText w:val="%1)"/>
      <w:lvlJc w:val="left"/>
      <w:pPr>
        <w:ind w:left="852" w:hanging="492"/>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C95F05"/>
    <w:multiLevelType w:val="hybridMultilevel"/>
    <w:tmpl w:val="1A2A2C4A"/>
    <w:lvl w:ilvl="0" w:tplc="080A0001">
      <w:start w:val="1"/>
      <w:numFmt w:val="bullet"/>
      <w:lvlText w:val=""/>
      <w:lvlJc w:val="left"/>
      <w:pPr>
        <w:ind w:left="779" w:hanging="360"/>
      </w:pPr>
      <w:rPr>
        <w:rFonts w:ascii="Symbol" w:hAnsi="Symbol" w:hint="default"/>
      </w:rPr>
    </w:lvl>
    <w:lvl w:ilvl="1" w:tplc="080A0003" w:tentative="1">
      <w:start w:val="1"/>
      <w:numFmt w:val="bullet"/>
      <w:lvlText w:val="o"/>
      <w:lvlJc w:val="left"/>
      <w:pPr>
        <w:ind w:left="1499" w:hanging="360"/>
      </w:pPr>
      <w:rPr>
        <w:rFonts w:ascii="Courier New" w:hAnsi="Courier New" w:cs="Courier New" w:hint="default"/>
      </w:rPr>
    </w:lvl>
    <w:lvl w:ilvl="2" w:tplc="080A0005" w:tentative="1">
      <w:start w:val="1"/>
      <w:numFmt w:val="bullet"/>
      <w:lvlText w:val=""/>
      <w:lvlJc w:val="left"/>
      <w:pPr>
        <w:ind w:left="2219" w:hanging="360"/>
      </w:pPr>
      <w:rPr>
        <w:rFonts w:ascii="Wingdings" w:hAnsi="Wingdings" w:hint="default"/>
      </w:rPr>
    </w:lvl>
    <w:lvl w:ilvl="3" w:tplc="080A0001" w:tentative="1">
      <w:start w:val="1"/>
      <w:numFmt w:val="bullet"/>
      <w:lvlText w:val=""/>
      <w:lvlJc w:val="left"/>
      <w:pPr>
        <w:ind w:left="2939" w:hanging="360"/>
      </w:pPr>
      <w:rPr>
        <w:rFonts w:ascii="Symbol" w:hAnsi="Symbol" w:hint="default"/>
      </w:rPr>
    </w:lvl>
    <w:lvl w:ilvl="4" w:tplc="080A0003" w:tentative="1">
      <w:start w:val="1"/>
      <w:numFmt w:val="bullet"/>
      <w:lvlText w:val="o"/>
      <w:lvlJc w:val="left"/>
      <w:pPr>
        <w:ind w:left="3659" w:hanging="360"/>
      </w:pPr>
      <w:rPr>
        <w:rFonts w:ascii="Courier New" w:hAnsi="Courier New" w:cs="Courier New" w:hint="default"/>
      </w:rPr>
    </w:lvl>
    <w:lvl w:ilvl="5" w:tplc="080A0005" w:tentative="1">
      <w:start w:val="1"/>
      <w:numFmt w:val="bullet"/>
      <w:lvlText w:val=""/>
      <w:lvlJc w:val="left"/>
      <w:pPr>
        <w:ind w:left="4379" w:hanging="360"/>
      </w:pPr>
      <w:rPr>
        <w:rFonts w:ascii="Wingdings" w:hAnsi="Wingdings" w:hint="default"/>
      </w:rPr>
    </w:lvl>
    <w:lvl w:ilvl="6" w:tplc="080A0001" w:tentative="1">
      <w:start w:val="1"/>
      <w:numFmt w:val="bullet"/>
      <w:lvlText w:val=""/>
      <w:lvlJc w:val="left"/>
      <w:pPr>
        <w:ind w:left="5099" w:hanging="360"/>
      </w:pPr>
      <w:rPr>
        <w:rFonts w:ascii="Symbol" w:hAnsi="Symbol" w:hint="default"/>
      </w:rPr>
    </w:lvl>
    <w:lvl w:ilvl="7" w:tplc="080A0003" w:tentative="1">
      <w:start w:val="1"/>
      <w:numFmt w:val="bullet"/>
      <w:lvlText w:val="o"/>
      <w:lvlJc w:val="left"/>
      <w:pPr>
        <w:ind w:left="5819" w:hanging="360"/>
      </w:pPr>
      <w:rPr>
        <w:rFonts w:ascii="Courier New" w:hAnsi="Courier New" w:cs="Courier New" w:hint="default"/>
      </w:rPr>
    </w:lvl>
    <w:lvl w:ilvl="8" w:tplc="080A0005" w:tentative="1">
      <w:start w:val="1"/>
      <w:numFmt w:val="bullet"/>
      <w:lvlText w:val=""/>
      <w:lvlJc w:val="left"/>
      <w:pPr>
        <w:ind w:left="6539" w:hanging="360"/>
      </w:pPr>
      <w:rPr>
        <w:rFonts w:ascii="Wingdings" w:hAnsi="Wingdings" w:hint="default"/>
      </w:rPr>
    </w:lvl>
  </w:abstractNum>
  <w:abstractNum w:abstractNumId="6" w15:restartNumberingAfterBreak="0">
    <w:nsid w:val="1DDE0447"/>
    <w:multiLevelType w:val="hybridMultilevel"/>
    <w:tmpl w:val="5C6AC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3F5493"/>
    <w:multiLevelType w:val="hybridMultilevel"/>
    <w:tmpl w:val="A6DA9E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3104EED"/>
    <w:multiLevelType w:val="hybridMultilevel"/>
    <w:tmpl w:val="4094C23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835D9B"/>
    <w:multiLevelType w:val="hybridMultilevel"/>
    <w:tmpl w:val="75E204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8627A24"/>
    <w:multiLevelType w:val="hybridMultilevel"/>
    <w:tmpl w:val="E4DE9D5A"/>
    <w:lvl w:ilvl="0" w:tplc="C834FA16">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48D4B64"/>
    <w:multiLevelType w:val="hybridMultilevel"/>
    <w:tmpl w:val="1408F062"/>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93D1BC4"/>
    <w:multiLevelType w:val="hybridMultilevel"/>
    <w:tmpl w:val="C024D0C2"/>
    <w:lvl w:ilvl="0" w:tplc="080A000F">
      <w:start w:val="1"/>
      <w:numFmt w:val="decimal"/>
      <w:lvlText w:val="%1."/>
      <w:lvlJc w:val="left"/>
      <w:pPr>
        <w:ind w:left="779" w:hanging="360"/>
      </w:pPr>
    </w:lvl>
    <w:lvl w:ilvl="1" w:tplc="080A0019" w:tentative="1">
      <w:start w:val="1"/>
      <w:numFmt w:val="lowerLetter"/>
      <w:lvlText w:val="%2."/>
      <w:lvlJc w:val="left"/>
      <w:pPr>
        <w:ind w:left="1499" w:hanging="360"/>
      </w:pPr>
    </w:lvl>
    <w:lvl w:ilvl="2" w:tplc="080A001B" w:tentative="1">
      <w:start w:val="1"/>
      <w:numFmt w:val="lowerRoman"/>
      <w:lvlText w:val="%3."/>
      <w:lvlJc w:val="right"/>
      <w:pPr>
        <w:ind w:left="2219" w:hanging="180"/>
      </w:pPr>
    </w:lvl>
    <w:lvl w:ilvl="3" w:tplc="080A000F" w:tentative="1">
      <w:start w:val="1"/>
      <w:numFmt w:val="decimal"/>
      <w:lvlText w:val="%4."/>
      <w:lvlJc w:val="left"/>
      <w:pPr>
        <w:ind w:left="2939" w:hanging="360"/>
      </w:pPr>
    </w:lvl>
    <w:lvl w:ilvl="4" w:tplc="080A0019" w:tentative="1">
      <w:start w:val="1"/>
      <w:numFmt w:val="lowerLetter"/>
      <w:lvlText w:val="%5."/>
      <w:lvlJc w:val="left"/>
      <w:pPr>
        <w:ind w:left="3659" w:hanging="360"/>
      </w:pPr>
    </w:lvl>
    <w:lvl w:ilvl="5" w:tplc="080A001B" w:tentative="1">
      <w:start w:val="1"/>
      <w:numFmt w:val="lowerRoman"/>
      <w:lvlText w:val="%6."/>
      <w:lvlJc w:val="right"/>
      <w:pPr>
        <w:ind w:left="4379" w:hanging="180"/>
      </w:pPr>
    </w:lvl>
    <w:lvl w:ilvl="6" w:tplc="080A000F" w:tentative="1">
      <w:start w:val="1"/>
      <w:numFmt w:val="decimal"/>
      <w:lvlText w:val="%7."/>
      <w:lvlJc w:val="left"/>
      <w:pPr>
        <w:ind w:left="5099" w:hanging="360"/>
      </w:pPr>
    </w:lvl>
    <w:lvl w:ilvl="7" w:tplc="080A0019" w:tentative="1">
      <w:start w:val="1"/>
      <w:numFmt w:val="lowerLetter"/>
      <w:lvlText w:val="%8."/>
      <w:lvlJc w:val="left"/>
      <w:pPr>
        <w:ind w:left="5819" w:hanging="360"/>
      </w:pPr>
    </w:lvl>
    <w:lvl w:ilvl="8" w:tplc="080A001B" w:tentative="1">
      <w:start w:val="1"/>
      <w:numFmt w:val="lowerRoman"/>
      <w:lvlText w:val="%9."/>
      <w:lvlJc w:val="right"/>
      <w:pPr>
        <w:ind w:left="6539" w:hanging="180"/>
      </w:pPr>
    </w:lvl>
  </w:abstractNum>
  <w:abstractNum w:abstractNumId="13" w15:restartNumberingAfterBreak="0">
    <w:nsid w:val="3C9D1114"/>
    <w:multiLevelType w:val="hybridMultilevel"/>
    <w:tmpl w:val="CF06B4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CD488C"/>
    <w:multiLevelType w:val="hybridMultilevel"/>
    <w:tmpl w:val="2FA8BF0A"/>
    <w:lvl w:ilvl="0" w:tplc="F8B016EE">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457723E"/>
    <w:multiLevelType w:val="hybridMultilevel"/>
    <w:tmpl w:val="FC96BE3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49B3CB4"/>
    <w:multiLevelType w:val="hybridMultilevel"/>
    <w:tmpl w:val="1D084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2B2E2E"/>
    <w:multiLevelType w:val="hybridMultilevel"/>
    <w:tmpl w:val="BF9AF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CE35CB"/>
    <w:multiLevelType w:val="hybridMultilevel"/>
    <w:tmpl w:val="CD18CF26"/>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9" w15:restartNumberingAfterBreak="0">
    <w:nsid w:val="4D753D98"/>
    <w:multiLevelType w:val="hybridMultilevel"/>
    <w:tmpl w:val="6BD427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E52D4D"/>
    <w:multiLevelType w:val="hybridMultilevel"/>
    <w:tmpl w:val="3EF0C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995F6C"/>
    <w:multiLevelType w:val="hybridMultilevel"/>
    <w:tmpl w:val="10F4C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E030B8"/>
    <w:multiLevelType w:val="hybridMultilevel"/>
    <w:tmpl w:val="353CC5EC"/>
    <w:lvl w:ilvl="0" w:tplc="080A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60F5696D"/>
    <w:multiLevelType w:val="hybridMultilevel"/>
    <w:tmpl w:val="804EB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146D4F"/>
    <w:multiLevelType w:val="hybridMultilevel"/>
    <w:tmpl w:val="5AC49468"/>
    <w:lvl w:ilvl="0" w:tplc="42F88D7C">
      <w:start w:val="9"/>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6C467FA2"/>
    <w:multiLevelType w:val="hybridMultilevel"/>
    <w:tmpl w:val="866C7C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1019B1"/>
    <w:multiLevelType w:val="hybridMultilevel"/>
    <w:tmpl w:val="92D22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9D36FC"/>
    <w:multiLevelType w:val="hybridMultilevel"/>
    <w:tmpl w:val="340E8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2860A9"/>
    <w:multiLevelType w:val="hybridMultilevel"/>
    <w:tmpl w:val="C7CC9A04"/>
    <w:lvl w:ilvl="0" w:tplc="84BCAD82">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BD1EAC"/>
    <w:multiLevelType w:val="hybridMultilevel"/>
    <w:tmpl w:val="242061C2"/>
    <w:lvl w:ilvl="0" w:tplc="080A000F">
      <w:start w:val="1"/>
      <w:numFmt w:val="decimal"/>
      <w:lvlText w:val="%1."/>
      <w:lvlJc w:val="left"/>
      <w:pPr>
        <w:ind w:left="720" w:hanging="360"/>
      </w:pPr>
    </w:lvl>
    <w:lvl w:ilvl="1" w:tplc="C6F68824">
      <w:start w:val="1"/>
      <w:numFmt w:val="lowerLetter"/>
      <w:lvlText w:val="%2)"/>
      <w:lvlJc w:val="left"/>
      <w:pPr>
        <w:ind w:left="1932" w:hanging="852"/>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84740B"/>
    <w:multiLevelType w:val="hybridMultilevel"/>
    <w:tmpl w:val="17E2BB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AA303F7"/>
    <w:multiLevelType w:val="hybridMultilevel"/>
    <w:tmpl w:val="AF5CE4DE"/>
    <w:lvl w:ilvl="0" w:tplc="37E0FDB4">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15:restartNumberingAfterBreak="0">
    <w:nsid w:val="7B165231"/>
    <w:multiLevelType w:val="multilevel"/>
    <w:tmpl w:val="0BFAE784"/>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3920FE"/>
    <w:multiLevelType w:val="hybridMultilevel"/>
    <w:tmpl w:val="DFD23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3625970">
    <w:abstractNumId w:val="17"/>
  </w:num>
  <w:num w:numId="2" w16cid:durableId="174416842">
    <w:abstractNumId w:val="29"/>
  </w:num>
  <w:num w:numId="3" w16cid:durableId="1850363583">
    <w:abstractNumId w:val="11"/>
  </w:num>
  <w:num w:numId="4" w16cid:durableId="1366365502">
    <w:abstractNumId w:val="22"/>
  </w:num>
  <w:num w:numId="5" w16cid:durableId="1432780165">
    <w:abstractNumId w:val="24"/>
  </w:num>
  <w:num w:numId="6" w16cid:durableId="1881625937">
    <w:abstractNumId w:val="13"/>
  </w:num>
  <w:num w:numId="7" w16cid:durableId="739795428">
    <w:abstractNumId w:val="28"/>
  </w:num>
  <w:num w:numId="8" w16cid:durableId="356854573">
    <w:abstractNumId w:val="32"/>
  </w:num>
  <w:num w:numId="9" w16cid:durableId="170266280">
    <w:abstractNumId w:val="27"/>
  </w:num>
  <w:num w:numId="10" w16cid:durableId="197738481">
    <w:abstractNumId w:val="20"/>
  </w:num>
  <w:num w:numId="11" w16cid:durableId="958219220">
    <w:abstractNumId w:val="16"/>
  </w:num>
  <w:num w:numId="12" w16cid:durableId="511188299">
    <w:abstractNumId w:val="25"/>
  </w:num>
  <w:num w:numId="13" w16cid:durableId="1630168631">
    <w:abstractNumId w:val="4"/>
  </w:num>
  <w:num w:numId="14" w16cid:durableId="579681664">
    <w:abstractNumId w:val="6"/>
  </w:num>
  <w:num w:numId="15" w16cid:durableId="780564891">
    <w:abstractNumId w:val="5"/>
  </w:num>
  <w:num w:numId="16" w16cid:durableId="2087266284">
    <w:abstractNumId w:val="12"/>
  </w:num>
  <w:num w:numId="17" w16cid:durableId="941690057">
    <w:abstractNumId w:val="8"/>
  </w:num>
  <w:num w:numId="18" w16cid:durableId="829562815">
    <w:abstractNumId w:val="9"/>
  </w:num>
  <w:num w:numId="19" w16cid:durableId="602347556">
    <w:abstractNumId w:val="15"/>
  </w:num>
  <w:num w:numId="20" w16cid:durableId="1620331420">
    <w:abstractNumId w:val="33"/>
  </w:num>
  <w:num w:numId="21" w16cid:durableId="1783762532">
    <w:abstractNumId w:val="2"/>
  </w:num>
  <w:num w:numId="22" w16cid:durableId="893547036">
    <w:abstractNumId w:val="0"/>
  </w:num>
  <w:num w:numId="23" w16cid:durableId="1828671279">
    <w:abstractNumId w:val="10"/>
  </w:num>
  <w:num w:numId="24" w16cid:durableId="1971550708">
    <w:abstractNumId w:val="14"/>
  </w:num>
  <w:num w:numId="25" w16cid:durableId="118186933">
    <w:abstractNumId w:val="21"/>
  </w:num>
  <w:num w:numId="26" w16cid:durableId="1740899443">
    <w:abstractNumId w:val="23"/>
  </w:num>
  <w:num w:numId="27" w16cid:durableId="1954439233">
    <w:abstractNumId w:val="3"/>
  </w:num>
  <w:num w:numId="28" w16cid:durableId="1753893532">
    <w:abstractNumId w:val="19"/>
  </w:num>
  <w:num w:numId="29" w16cid:durableId="377709542">
    <w:abstractNumId w:val="26"/>
  </w:num>
  <w:num w:numId="30" w16cid:durableId="956988276">
    <w:abstractNumId w:val="30"/>
  </w:num>
  <w:num w:numId="31" w16cid:durableId="1791897940">
    <w:abstractNumId w:val="1"/>
  </w:num>
  <w:num w:numId="32" w16cid:durableId="445587919">
    <w:abstractNumId w:val="7"/>
  </w:num>
  <w:num w:numId="33" w16cid:durableId="1716616507">
    <w:abstractNumId w:val="31"/>
  </w:num>
  <w:num w:numId="34" w16cid:durableId="1616211264">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73"/>
    <w:rsid w:val="00004BF0"/>
    <w:rsid w:val="00005869"/>
    <w:rsid w:val="000066A6"/>
    <w:rsid w:val="0001000A"/>
    <w:rsid w:val="000108D0"/>
    <w:rsid w:val="00010976"/>
    <w:rsid w:val="00011A31"/>
    <w:rsid w:val="000127C6"/>
    <w:rsid w:val="00012AB1"/>
    <w:rsid w:val="00012EA3"/>
    <w:rsid w:val="00014506"/>
    <w:rsid w:val="00021653"/>
    <w:rsid w:val="0002194C"/>
    <w:rsid w:val="00022BA4"/>
    <w:rsid w:val="00022CA6"/>
    <w:rsid w:val="0002315D"/>
    <w:rsid w:val="000238BD"/>
    <w:rsid w:val="00023C72"/>
    <w:rsid w:val="00023D74"/>
    <w:rsid w:val="00025BEC"/>
    <w:rsid w:val="00025BF2"/>
    <w:rsid w:val="00026462"/>
    <w:rsid w:val="000266B2"/>
    <w:rsid w:val="00026A88"/>
    <w:rsid w:val="0002712E"/>
    <w:rsid w:val="00027232"/>
    <w:rsid w:val="00027E6F"/>
    <w:rsid w:val="00027F3F"/>
    <w:rsid w:val="00030972"/>
    <w:rsid w:val="000316F1"/>
    <w:rsid w:val="00031764"/>
    <w:rsid w:val="00031899"/>
    <w:rsid w:val="00032384"/>
    <w:rsid w:val="00033C00"/>
    <w:rsid w:val="00033F29"/>
    <w:rsid w:val="00034611"/>
    <w:rsid w:val="00034900"/>
    <w:rsid w:val="0003518D"/>
    <w:rsid w:val="00040BFF"/>
    <w:rsid w:val="00040EDA"/>
    <w:rsid w:val="00041399"/>
    <w:rsid w:val="000428B3"/>
    <w:rsid w:val="000438D9"/>
    <w:rsid w:val="00043F57"/>
    <w:rsid w:val="000449DF"/>
    <w:rsid w:val="00045AE4"/>
    <w:rsid w:val="00050910"/>
    <w:rsid w:val="00051001"/>
    <w:rsid w:val="00052574"/>
    <w:rsid w:val="000525CE"/>
    <w:rsid w:val="00055BF7"/>
    <w:rsid w:val="000563E7"/>
    <w:rsid w:val="0005791D"/>
    <w:rsid w:val="00060B1B"/>
    <w:rsid w:val="00060C6B"/>
    <w:rsid w:val="000616B3"/>
    <w:rsid w:val="000630B1"/>
    <w:rsid w:val="00063689"/>
    <w:rsid w:val="00064471"/>
    <w:rsid w:val="0006456B"/>
    <w:rsid w:val="00064DA4"/>
    <w:rsid w:val="00065290"/>
    <w:rsid w:val="0006783D"/>
    <w:rsid w:val="000678CD"/>
    <w:rsid w:val="00067EA1"/>
    <w:rsid w:val="000709EA"/>
    <w:rsid w:val="00072EFA"/>
    <w:rsid w:val="000735DA"/>
    <w:rsid w:val="00076451"/>
    <w:rsid w:val="00076F0D"/>
    <w:rsid w:val="000809FD"/>
    <w:rsid w:val="000812B4"/>
    <w:rsid w:val="000816EE"/>
    <w:rsid w:val="00081F0F"/>
    <w:rsid w:val="000826B4"/>
    <w:rsid w:val="00083552"/>
    <w:rsid w:val="00084AC3"/>
    <w:rsid w:val="00084C8D"/>
    <w:rsid w:val="00085635"/>
    <w:rsid w:val="000859C5"/>
    <w:rsid w:val="00086B58"/>
    <w:rsid w:val="00086D6F"/>
    <w:rsid w:val="00087BCD"/>
    <w:rsid w:val="00090048"/>
    <w:rsid w:val="00091876"/>
    <w:rsid w:val="000927DC"/>
    <w:rsid w:val="00092D36"/>
    <w:rsid w:val="000933F1"/>
    <w:rsid w:val="000945C4"/>
    <w:rsid w:val="000947E9"/>
    <w:rsid w:val="00095D08"/>
    <w:rsid w:val="00096226"/>
    <w:rsid w:val="00096A00"/>
    <w:rsid w:val="000A14E9"/>
    <w:rsid w:val="000A2ED6"/>
    <w:rsid w:val="000A410E"/>
    <w:rsid w:val="000A5A5C"/>
    <w:rsid w:val="000A5D49"/>
    <w:rsid w:val="000A6C81"/>
    <w:rsid w:val="000A6E0D"/>
    <w:rsid w:val="000A7E97"/>
    <w:rsid w:val="000B0BF2"/>
    <w:rsid w:val="000B0FF7"/>
    <w:rsid w:val="000B2883"/>
    <w:rsid w:val="000B4400"/>
    <w:rsid w:val="000B5B35"/>
    <w:rsid w:val="000B6552"/>
    <w:rsid w:val="000C12AC"/>
    <w:rsid w:val="000C199F"/>
    <w:rsid w:val="000C1F54"/>
    <w:rsid w:val="000C255A"/>
    <w:rsid w:val="000C32FE"/>
    <w:rsid w:val="000C3C08"/>
    <w:rsid w:val="000C4CD2"/>
    <w:rsid w:val="000C65E2"/>
    <w:rsid w:val="000C6987"/>
    <w:rsid w:val="000C770D"/>
    <w:rsid w:val="000D0BA4"/>
    <w:rsid w:val="000D0C58"/>
    <w:rsid w:val="000D0CE7"/>
    <w:rsid w:val="000D1A1B"/>
    <w:rsid w:val="000D2D8F"/>
    <w:rsid w:val="000D3194"/>
    <w:rsid w:val="000D417D"/>
    <w:rsid w:val="000D66A8"/>
    <w:rsid w:val="000D6E20"/>
    <w:rsid w:val="000D7097"/>
    <w:rsid w:val="000D7496"/>
    <w:rsid w:val="000E0E58"/>
    <w:rsid w:val="000E1009"/>
    <w:rsid w:val="000E1FC5"/>
    <w:rsid w:val="000E236F"/>
    <w:rsid w:val="000E2B37"/>
    <w:rsid w:val="000E2C85"/>
    <w:rsid w:val="000E2DD5"/>
    <w:rsid w:val="000E4547"/>
    <w:rsid w:val="000E5BC0"/>
    <w:rsid w:val="000E6300"/>
    <w:rsid w:val="000E6867"/>
    <w:rsid w:val="000E6CC0"/>
    <w:rsid w:val="000E7D9B"/>
    <w:rsid w:val="000F14B1"/>
    <w:rsid w:val="000F4D61"/>
    <w:rsid w:val="000F5DA5"/>
    <w:rsid w:val="000F6844"/>
    <w:rsid w:val="000F6E53"/>
    <w:rsid w:val="000F7663"/>
    <w:rsid w:val="0010096C"/>
    <w:rsid w:val="00100CC8"/>
    <w:rsid w:val="0010324A"/>
    <w:rsid w:val="00103322"/>
    <w:rsid w:val="00105390"/>
    <w:rsid w:val="001060BB"/>
    <w:rsid w:val="0010702D"/>
    <w:rsid w:val="00107F5F"/>
    <w:rsid w:val="0011087B"/>
    <w:rsid w:val="00112C15"/>
    <w:rsid w:val="0011359E"/>
    <w:rsid w:val="00113FE7"/>
    <w:rsid w:val="001141A6"/>
    <w:rsid w:val="0011691B"/>
    <w:rsid w:val="00120692"/>
    <w:rsid w:val="0012091C"/>
    <w:rsid w:val="001222C9"/>
    <w:rsid w:val="001227AE"/>
    <w:rsid w:val="00122FCD"/>
    <w:rsid w:val="00123B64"/>
    <w:rsid w:val="0012446C"/>
    <w:rsid w:val="00124971"/>
    <w:rsid w:val="00125D6D"/>
    <w:rsid w:val="00126007"/>
    <w:rsid w:val="00133688"/>
    <w:rsid w:val="00134F72"/>
    <w:rsid w:val="00135D93"/>
    <w:rsid w:val="00136B44"/>
    <w:rsid w:val="00136BB1"/>
    <w:rsid w:val="00136E2A"/>
    <w:rsid w:val="001374B4"/>
    <w:rsid w:val="001375B1"/>
    <w:rsid w:val="00137D13"/>
    <w:rsid w:val="00140D00"/>
    <w:rsid w:val="00140DF7"/>
    <w:rsid w:val="001422A1"/>
    <w:rsid w:val="00143038"/>
    <w:rsid w:val="0014333B"/>
    <w:rsid w:val="00143C97"/>
    <w:rsid w:val="001441D4"/>
    <w:rsid w:val="001444F1"/>
    <w:rsid w:val="001451A9"/>
    <w:rsid w:val="001461FB"/>
    <w:rsid w:val="00146714"/>
    <w:rsid w:val="0014743F"/>
    <w:rsid w:val="00147C59"/>
    <w:rsid w:val="00147DC8"/>
    <w:rsid w:val="00147F76"/>
    <w:rsid w:val="00150D35"/>
    <w:rsid w:val="00151F69"/>
    <w:rsid w:val="00152154"/>
    <w:rsid w:val="0015289F"/>
    <w:rsid w:val="00153410"/>
    <w:rsid w:val="00153AC7"/>
    <w:rsid w:val="00154A57"/>
    <w:rsid w:val="001553F4"/>
    <w:rsid w:val="001567FC"/>
    <w:rsid w:val="00156884"/>
    <w:rsid w:val="00156CE8"/>
    <w:rsid w:val="00156F9A"/>
    <w:rsid w:val="00157112"/>
    <w:rsid w:val="001572CF"/>
    <w:rsid w:val="001603CE"/>
    <w:rsid w:val="0016106A"/>
    <w:rsid w:val="0016347E"/>
    <w:rsid w:val="001637E0"/>
    <w:rsid w:val="00163A2E"/>
    <w:rsid w:val="001667BC"/>
    <w:rsid w:val="00167CF8"/>
    <w:rsid w:val="00167D12"/>
    <w:rsid w:val="00170332"/>
    <w:rsid w:val="001716D6"/>
    <w:rsid w:val="0017188F"/>
    <w:rsid w:val="00171E69"/>
    <w:rsid w:val="0017225B"/>
    <w:rsid w:val="0017251D"/>
    <w:rsid w:val="001726BA"/>
    <w:rsid w:val="001744E3"/>
    <w:rsid w:val="00174749"/>
    <w:rsid w:val="00175793"/>
    <w:rsid w:val="00176D98"/>
    <w:rsid w:val="001801DD"/>
    <w:rsid w:val="001809D2"/>
    <w:rsid w:val="00182033"/>
    <w:rsid w:val="00183032"/>
    <w:rsid w:val="00185D93"/>
    <w:rsid w:val="001878CE"/>
    <w:rsid w:val="0019008D"/>
    <w:rsid w:val="00191DD6"/>
    <w:rsid w:val="00192504"/>
    <w:rsid w:val="00192C79"/>
    <w:rsid w:val="001933AF"/>
    <w:rsid w:val="00193A1F"/>
    <w:rsid w:val="00193CF6"/>
    <w:rsid w:val="00194378"/>
    <w:rsid w:val="00194B9E"/>
    <w:rsid w:val="0019610C"/>
    <w:rsid w:val="001967C4"/>
    <w:rsid w:val="00196A95"/>
    <w:rsid w:val="00196BA8"/>
    <w:rsid w:val="001A04BA"/>
    <w:rsid w:val="001A0B48"/>
    <w:rsid w:val="001A153D"/>
    <w:rsid w:val="001A2108"/>
    <w:rsid w:val="001A22E9"/>
    <w:rsid w:val="001A2998"/>
    <w:rsid w:val="001A4405"/>
    <w:rsid w:val="001A7F17"/>
    <w:rsid w:val="001B1D41"/>
    <w:rsid w:val="001B22E7"/>
    <w:rsid w:val="001B2A35"/>
    <w:rsid w:val="001B2D2C"/>
    <w:rsid w:val="001B3242"/>
    <w:rsid w:val="001B324B"/>
    <w:rsid w:val="001B432D"/>
    <w:rsid w:val="001B53B8"/>
    <w:rsid w:val="001B6096"/>
    <w:rsid w:val="001B6238"/>
    <w:rsid w:val="001B6691"/>
    <w:rsid w:val="001B7EEB"/>
    <w:rsid w:val="001C1AC9"/>
    <w:rsid w:val="001C1CE8"/>
    <w:rsid w:val="001C31C0"/>
    <w:rsid w:val="001C5A3C"/>
    <w:rsid w:val="001C630F"/>
    <w:rsid w:val="001C63C7"/>
    <w:rsid w:val="001C7C32"/>
    <w:rsid w:val="001C7D0D"/>
    <w:rsid w:val="001D0959"/>
    <w:rsid w:val="001D118E"/>
    <w:rsid w:val="001D3248"/>
    <w:rsid w:val="001D3D21"/>
    <w:rsid w:val="001D4D3A"/>
    <w:rsid w:val="001D6A7A"/>
    <w:rsid w:val="001D7E24"/>
    <w:rsid w:val="001E0DA8"/>
    <w:rsid w:val="001E1141"/>
    <w:rsid w:val="001E1789"/>
    <w:rsid w:val="001E22B6"/>
    <w:rsid w:val="001E238A"/>
    <w:rsid w:val="001E29BC"/>
    <w:rsid w:val="001E2C30"/>
    <w:rsid w:val="001E38A8"/>
    <w:rsid w:val="001E4DFC"/>
    <w:rsid w:val="001E5E6E"/>
    <w:rsid w:val="001E5EE0"/>
    <w:rsid w:val="001E6316"/>
    <w:rsid w:val="001E6A84"/>
    <w:rsid w:val="001E6B84"/>
    <w:rsid w:val="001E7134"/>
    <w:rsid w:val="001E73BE"/>
    <w:rsid w:val="001E7BE4"/>
    <w:rsid w:val="001F111C"/>
    <w:rsid w:val="001F1237"/>
    <w:rsid w:val="001F1EFC"/>
    <w:rsid w:val="001F4E8B"/>
    <w:rsid w:val="001F5785"/>
    <w:rsid w:val="001F58A3"/>
    <w:rsid w:val="001F786F"/>
    <w:rsid w:val="001F7EED"/>
    <w:rsid w:val="002025CC"/>
    <w:rsid w:val="0020576C"/>
    <w:rsid w:val="00205967"/>
    <w:rsid w:val="00205A4D"/>
    <w:rsid w:val="00210497"/>
    <w:rsid w:val="002108B7"/>
    <w:rsid w:val="00210B80"/>
    <w:rsid w:val="002121BB"/>
    <w:rsid w:val="00213BF0"/>
    <w:rsid w:val="0021471A"/>
    <w:rsid w:val="00214F55"/>
    <w:rsid w:val="002159D5"/>
    <w:rsid w:val="00217593"/>
    <w:rsid w:val="0022161C"/>
    <w:rsid w:val="00221A41"/>
    <w:rsid w:val="00221BB6"/>
    <w:rsid w:val="00222635"/>
    <w:rsid w:val="00222CD7"/>
    <w:rsid w:val="00222E94"/>
    <w:rsid w:val="00223847"/>
    <w:rsid w:val="00223A30"/>
    <w:rsid w:val="00225BC2"/>
    <w:rsid w:val="00225D82"/>
    <w:rsid w:val="00225F1A"/>
    <w:rsid w:val="002265F6"/>
    <w:rsid w:val="0022665E"/>
    <w:rsid w:val="00227A69"/>
    <w:rsid w:val="0023109B"/>
    <w:rsid w:val="00232B69"/>
    <w:rsid w:val="00232E0D"/>
    <w:rsid w:val="0023320E"/>
    <w:rsid w:val="00234ECF"/>
    <w:rsid w:val="0023543C"/>
    <w:rsid w:val="00235E74"/>
    <w:rsid w:val="00235F5F"/>
    <w:rsid w:val="00236F54"/>
    <w:rsid w:val="0023704F"/>
    <w:rsid w:val="0023708B"/>
    <w:rsid w:val="0023784B"/>
    <w:rsid w:val="00240AB5"/>
    <w:rsid w:val="00240FDA"/>
    <w:rsid w:val="0024108E"/>
    <w:rsid w:val="00241E9C"/>
    <w:rsid w:val="00242E90"/>
    <w:rsid w:val="00243D23"/>
    <w:rsid w:val="00245206"/>
    <w:rsid w:val="00245DD7"/>
    <w:rsid w:val="00252E51"/>
    <w:rsid w:val="00254EA6"/>
    <w:rsid w:val="00254F79"/>
    <w:rsid w:val="00257D06"/>
    <w:rsid w:val="00261092"/>
    <w:rsid w:val="00261440"/>
    <w:rsid w:val="002616A0"/>
    <w:rsid w:val="002626FF"/>
    <w:rsid w:val="00262DF0"/>
    <w:rsid w:val="0026475A"/>
    <w:rsid w:val="0026540C"/>
    <w:rsid w:val="00265598"/>
    <w:rsid w:val="00265C5C"/>
    <w:rsid w:val="00266DE9"/>
    <w:rsid w:val="00267B64"/>
    <w:rsid w:val="002739AD"/>
    <w:rsid w:val="002746EF"/>
    <w:rsid w:val="00274C34"/>
    <w:rsid w:val="00274FE0"/>
    <w:rsid w:val="0027554B"/>
    <w:rsid w:val="00277E7D"/>
    <w:rsid w:val="002849A3"/>
    <w:rsid w:val="002857A7"/>
    <w:rsid w:val="00290553"/>
    <w:rsid w:val="002910A5"/>
    <w:rsid w:val="002911D9"/>
    <w:rsid w:val="00293452"/>
    <w:rsid w:val="0029415B"/>
    <w:rsid w:val="00294C20"/>
    <w:rsid w:val="00294D25"/>
    <w:rsid w:val="002A09F4"/>
    <w:rsid w:val="002A15D2"/>
    <w:rsid w:val="002A1E76"/>
    <w:rsid w:val="002A23D6"/>
    <w:rsid w:val="002A29EF"/>
    <w:rsid w:val="002A2C0E"/>
    <w:rsid w:val="002A3844"/>
    <w:rsid w:val="002A395B"/>
    <w:rsid w:val="002A4D97"/>
    <w:rsid w:val="002A5969"/>
    <w:rsid w:val="002A69EF"/>
    <w:rsid w:val="002B09A3"/>
    <w:rsid w:val="002B0AA9"/>
    <w:rsid w:val="002B1019"/>
    <w:rsid w:val="002B124D"/>
    <w:rsid w:val="002B136B"/>
    <w:rsid w:val="002B2062"/>
    <w:rsid w:val="002B2DD7"/>
    <w:rsid w:val="002B3806"/>
    <w:rsid w:val="002B3BAD"/>
    <w:rsid w:val="002B3D49"/>
    <w:rsid w:val="002B426B"/>
    <w:rsid w:val="002B5CEE"/>
    <w:rsid w:val="002B68D8"/>
    <w:rsid w:val="002C08F9"/>
    <w:rsid w:val="002C0C22"/>
    <w:rsid w:val="002C11AD"/>
    <w:rsid w:val="002C234F"/>
    <w:rsid w:val="002C254F"/>
    <w:rsid w:val="002C268E"/>
    <w:rsid w:val="002C2748"/>
    <w:rsid w:val="002C2BF3"/>
    <w:rsid w:val="002C2D46"/>
    <w:rsid w:val="002C6038"/>
    <w:rsid w:val="002C6472"/>
    <w:rsid w:val="002C6A82"/>
    <w:rsid w:val="002C7073"/>
    <w:rsid w:val="002C7BAA"/>
    <w:rsid w:val="002D0010"/>
    <w:rsid w:val="002D0D82"/>
    <w:rsid w:val="002D14A1"/>
    <w:rsid w:val="002D18B6"/>
    <w:rsid w:val="002D2524"/>
    <w:rsid w:val="002D2F9E"/>
    <w:rsid w:val="002D3AE0"/>
    <w:rsid w:val="002D3BB9"/>
    <w:rsid w:val="002D4789"/>
    <w:rsid w:val="002D4AA4"/>
    <w:rsid w:val="002D4D0C"/>
    <w:rsid w:val="002D62D2"/>
    <w:rsid w:val="002D6A47"/>
    <w:rsid w:val="002E1113"/>
    <w:rsid w:val="002E19B9"/>
    <w:rsid w:val="002E33B9"/>
    <w:rsid w:val="002E4273"/>
    <w:rsid w:val="002E491A"/>
    <w:rsid w:val="002E51F9"/>
    <w:rsid w:val="002E5566"/>
    <w:rsid w:val="002E5654"/>
    <w:rsid w:val="002E6A12"/>
    <w:rsid w:val="002E7213"/>
    <w:rsid w:val="002E761F"/>
    <w:rsid w:val="002E7ED9"/>
    <w:rsid w:val="002F1349"/>
    <w:rsid w:val="002F44DF"/>
    <w:rsid w:val="002F484E"/>
    <w:rsid w:val="002F55F6"/>
    <w:rsid w:val="002F5ADD"/>
    <w:rsid w:val="002F6A93"/>
    <w:rsid w:val="002F6C3A"/>
    <w:rsid w:val="002F7C97"/>
    <w:rsid w:val="003002E8"/>
    <w:rsid w:val="0030048C"/>
    <w:rsid w:val="003006F6"/>
    <w:rsid w:val="003023C7"/>
    <w:rsid w:val="003028E6"/>
    <w:rsid w:val="00305165"/>
    <w:rsid w:val="003071E7"/>
    <w:rsid w:val="003078E0"/>
    <w:rsid w:val="0031089D"/>
    <w:rsid w:val="00310D6C"/>
    <w:rsid w:val="00311428"/>
    <w:rsid w:val="00312592"/>
    <w:rsid w:val="00312FBB"/>
    <w:rsid w:val="00314AE5"/>
    <w:rsid w:val="0031538C"/>
    <w:rsid w:val="00315439"/>
    <w:rsid w:val="00315A08"/>
    <w:rsid w:val="00315B79"/>
    <w:rsid w:val="003166C9"/>
    <w:rsid w:val="0031688E"/>
    <w:rsid w:val="00316D1D"/>
    <w:rsid w:val="00321601"/>
    <w:rsid w:val="003219D0"/>
    <w:rsid w:val="00322408"/>
    <w:rsid w:val="00322CF9"/>
    <w:rsid w:val="00323E30"/>
    <w:rsid w:val="00324B9A"/>
    <w:rsid w:val="00325212"/>
    <w:rsid w:val="00325E79"/>
    <w:rsid w:val="0032738D"/>
    <w:rsid w:val="00327DA2"/>
    <w:rsid w:val="00330308"/>
    <w:rsid w:val="00335C68"/>
    <w:rsid w:val="00336EE1"/>
    <w:rsid w:val="003400C5"/>
    <w:rsid w:val="00340233"/>
    <w:rsid w:val="00340D65"/>
    <w:rsid w:val="00341967"/>
    <w:rsid w:val="00341BF9"/>
    <w:rsid w:val="0034239F"/>
    <w:rsid w:val="00342CFC"/>
    <w:rsid w:val="00343696"/>
    <w:rsid w:val="00343917"/>
    <w:rsid w:val="00343CC4"/>
    <w:rsid w:val="00343D10"/>
    <w:rsid w:val="00343FC6"/>
    <w:rsid w:val="00344643"/>
    <w:rsid w:val="00344883"/>
    <w:rsid w:val="00345B68"/>
    <w:rsid w:val="0034687B"/>
    <w:rsid w:val="00346F60"/>
    <w:rsid w:val="00347108"/>
    <w:rsid w:val="003502BC"/>
    <w:rsid w:val="0035098B"/>
    <w:rsid w:val="00351D1D"/>
    <w:rsid w:val="00353E57"/>
    <w:rsid w:val="00354514"/>
    <w:rsid w:val="00355919"/>
    <w:rsid w:val="003565DE"/>
    <w:rsid w:val="00356A9C"/>
    <w:rsid w:val="003574CC"/>
    <w:rsid w:val="00357991"/>
    <w:rsid w:val="0036013D"/>
    <w:rsid w:val="003621D9"/>
    <w:rsid w:val="00362FB6"/>
    <w:rsid w:val="0036310C"/>
    <w:rsid w:val="00364D79"/>
    <w:rsid w:val="00364DD1"/>
    <w:rsid w:val="003653FC"/>
    <w:rsid w:val="00365ED8"/>
    <w:rsid w:val="0036609D"/>
    <w:rsid w:val="00366DE4"/>
    <w:rsid w:val="00367AF4"/>
    <w:rsid w:val="00373902"/>
    <w:rsid w:val="00373AF5"/>
    <w:rsid w:val="00374006"/>
    <w:rsid w:val="0037457D"/>
    <w:rsid w:val="003758EC"/>
    <w:rsid w:val="0037696C"/>
    <w:rsid w:val="0037739E"/>
    <w:rsid w:val="003819A6"/>
    <w:rsid w:val="00381D70"/>
    <w:rsid w:val="00382974"/>
    <w:rsid w:val="0038343E"/>
    <w:rsid w:val="00383BD5"/>
    <w:rsid w:val="00384BFE"/>
    <w:rsid w:val="003851DB"/>
    <w:rsid w:val="00385CC4"/>
    <w:rsid w:val="0038655E"/>
    <w:rsid w:val="00386EF6"/>
    <w:rsid w:val="0038709A"/>
    <w:rsid w:val="00387CCE"/>
    <w:rsid w:val="00387D47"/>
    <w:rsid w:val="00391172"/>
    <w:rsid w:val="0039311A"/>
    <w:rsid w:val="00393BBC"/>
    <w:rsid w:val="0039486B"/>
    <w:rsid w:val="00394F46"/>
    <w:rsid w:val="003A0A22"/>
    <w:rsid w:val="003A14FF"/>
    <w:rsid w:val="003A3A2F"/>
    <w:rsid w:val="003A3DF3"/>
    <w:rsid w:val="003A54DA"/>
    <w:rsid w:val="003A72D3"/>
    <w:rsid w:val="003A7FC1"/>
    <w:rsid w:val="003B334A"/>
    <w:rsid w:val="003B392F"/>
    <w:rsid w:val="003B4D6E"/>
    <w:rsid w:val="003B5F54"/>
    <w:rsid w:val="003B7388"/>
    <w:rsid w:val="003B76FB"/>
    <w:rsid w:val="003B7C69"/>
    <w:rsid w:val="003B7CF5"/>
    <w:rsid w:val="003B7F2F"/>
    <w:rsid w:val="003C103D"/>
    <w:rsid w:val="003C12C2"/>
    <w:rsid w:val="003C13EB"/>
    <w:rsid w:val="003C14C0"/>
    <w:rsid w:val="003C14EC"/>
    <w:rsid w:val="003C1D3A"/>
    <w:rsid w:val="003C279E"/>
    <w:rsid w:val="003C2DFF"/>
    <w:rsid w:val="003C4688"/>
    <w:rsid w:val="003C5080"/>
    <w:rsid w:val="003C52CC"/>
    <w:rsid w:val="003C5429"/>
    <w:rsid w:val="003C5E7A"/>
    <w:rsid w:val="003C6D3B"/>
    <w:rsid w:val="003C781C"/>
    <w:rsid w:val="003C7F8D"/>
    <w:rsid w:val="003D0D4A"/>
    <w:rsid w:val="003D2AE2"/>
    <w:rsid w:val="003D53AD"/>
    <w:rsid w:val="003D5F13"/>
    <w:rsid w:val="003D63C2"/>
    <w:rsid w:val="003D6E33"/>
    <w:rsid w:val="003D7A19"/>
    <w:rsid w:val="003E3394"/>
    <w:rsid w:val="003E452A"/>
    <w:rsid w:val="003E4E42"/>
    <w:rsid w:val="003E54C9"/>
    <w:rsid w:val="003E5AEC"/>
    <w:rsid w:val="003E67A5"/>
    <w:rsid w:val="003E7E8B"/>
    <w:rsid w:val="003F0ED9"/>
    <w:rsid w:val="003F14CE"/>
    <w:rsid w:val="003F1774"/>
    <w:rsid w:val="003F22AF"/>
    <w:rsid w:val="003F378E"/>
    <w:rsid w:val="003F3FFA"/>
    <w:rsid w:val="003F57BA"/>
    <w:rsid w:val="003F58E1"/>
    <w:rsid w:val="003F6642"/>
    <w:rsid w:val="003F6BA5"/>
    <w:rsid w:val="003F7027"/>
    <w:rsid w:val="003F7A8B"/>
    <w:rsid w:val="004005EF"/>
    <w:rsid w:val="00400C53"/>
    <w:rsid w:val="00403282"/>
    <w:rsid w:val="0040352F"/>
    <w:rsid w:val="00405D0B"/>
    <w:rsid w:val="00407AFA"/>
    <w:rsid w:val="00410445"/>
    <w:rsid w:val="0041059F"/>
    <w:rsid w:val="0041133B"/>
    <w:rsid w:val="00412E89"/>
    <w:rsid w:val="00413007"/>
    <w:rsid w:val="004142B4"/>
    <w:rsid w:val="00415AB5"/>
    <w:rsid w:val="004161C9"/>
    <w:rsid w:val="00417045"/>
    <w:rsid w:val="004173C1"/>
    <w:rsid w:val="0042050A"/>
    <w:rsid w:val="00421723"/>
    <w:rsid w:val="00421F23"/>
    <w:rsid w:val="00422179"/>
    <w:rsid w:val="00423A35"/>
    <w:rsid w:val="00423E5F"/>
    <w:rsid w:val="00423F1D"/>
    <w:rsid w:val="00424C26"/>
    <w:rsid w:val="00424FD1"/>
    <w:rsid w:val="00427054"/>
    <w:rsid w:val="00427A46"/>
    <w:rsid w:val="00427CCB"/>
    <w:rsid w:val="00430102"/>
    <w:rsid w:val="0043055A"/>
    <w:rsid w:val="004306D6"/>
    <w:rsid w:val="00430893"/>
    <w:rsid w:val="004318B3"/>
    <w:rsid w:val="00433087"/>
    <w:rsid w:val="00433395"/>
    <w:rsid w:val="00434FBE"/>
    <w:rsid w:val="00436441"/>
    <w:rsid w:val="0044030D"/>
    <w:rsid w:val="0044033A"/>
    <w:rsid w:val="00440776"/>
    <w:rsid w:val="004412A1"/>
    <w:rsid w:val="004419B4"/>
    <w:rsid w:val="00442F81"/>
    <w:rsid w:val="004440E4"/>
    <w:rsid w:val="00444C0D"/>
    <w:rsid w:val="00444E5E"/>
    <w:rsid w:val="00446799"/>
    <w:rsid w:val="004467FD"/>
    <w:rsid w:val="00450676"/>
    <w:rsid w:val="00450C13"/>
    <w:rsid w:val="00450D80"/>
    <w:rsid w:val="00451B53"/>
    <w:rsid w:val="004524F6"/>
    <w:rsid w:val="00454765"/>
    <w:rsid w:val="00454D77"/>
    <w:rsid w:val="00456BED"/>
    <w:rsid w:val="00457708"/>
    <w:rsid w:val="00460AD2"/>
    <w:rsid w:val="00460D0F"/>
    <w:rsid w:val="00461085"/>
    <w:rsid w:val="004610B9"/>
    <w:rsid w:val="004610EC"/>
    <w:rsid w:val="00462DA5"/>
    <w:rsid w:val="00464004"/>
    <w:rsid w:val="004640BB"/>
    <w:rsid w:val="00465669"/>
    <w:rsid w:val="0046756B"/>
    <w:rsid w:val="00470588"/>
    <w:rsid w:val="0047173D"/>
    <w:rsid w:val="00471877"/>
    <w:rsid w:val="0047191A"/>
    <w:rsid w:val="00473940"/>
    <w:rsid w:val="00474303"/>
    <w:rsid w:val="00480D32"/>
    <w:rsid w:val="00481735"/>
    <w:rsid w:val="0048174F"/>
    <w:rsid w:val="00481BA3"/>
    <w:rsid w:val="00482467"/>
    <w:rsid w:val="0048271B"/>
    <w:rsid w:val="00483306"/>
    <w:rsid w:val="004834C4"/>
    <w:rsid w:val="0048354E"/>
    <w:rsid w:val="00483729"/>
    <w:rsid w:val="00483EC2"/>
    <w:rsid w:val="004852C5"/>
    <w:rsid w:val="00485A3C"/>
    <w:rsid w:val="004871E8"/>
    <w:rsid w:val="00491514"/>
    <w:rsid w:val="004929FC"/>
    <w:rsid w:val="00492B8D"/>
    <w:rsid w:val="0049389D"/>
    <w:rsid w:val="00493E9F"/>
    <w:rsid w:val="00494DB5"/>
    <w:rsid w:val="00494FAE"/>
    <w:rsid w:val="004956FD"/>
    <w:rsid w:val="00495CFB"/>
    <w:rsid w:val="00495F67"/>
    <w:rsid w:val="00496EA7"/>
    <w:rsid w:val="00497570"/>
    <w:rsid w:val="004975C7"/>
    <w:rsid w:val="004A0D34"/>
    <w:rsid w:val="004A16A6"/>
    <w:rsid w:val="004A1717"/>
    <w:rsid w:val="004A1CEF"/>
    <w:rsid w:val="004A2455"/>
    <w:rsid w:val="004A26A9"/>
    <w:rsid w:val="004A2750"/>
    <w:rsid w:val="004A27BC"/>
    <w:rsid w:val="004A2C85"/>
    <w:rsid w:val="004A37B8"/>
    <w:rsid w:val="004A3915"/>
    <w:rsid w:val="004A4059"/>
    <w:rsid w:val="004A409B"/>
    <w:rsid w:val="004A4922"/>
    <w:rsid w:val="004A51ED"/>
    <w:rsid w:val="004A53AA"/>
    <w:rsid w:val="004B08AD"/>
    <w:rsid w:val="004B12FB"/>
    <w:rsid w:val="004B1392"/>
    <w:rsid w:val="004B1ACC"/>
    <w:rsid w:val="004B27F7"/>
    <w:rsid w:val="004B2C85"/>
    <w:rsid w:val="004B322C"/>
    <w:rsid w:val="004B44F5"/>
    <w:rsid w:val="004B54B3"/>
    <w:rsid w:val="004B5660"/>
    <w:rsid w:val="004B59CF"/>
    <w:rsid w:val="004B68CA"/>
    <w:rsid w:val="004C2476"/>
    <w:rsid w:val="004C265A"/>
    <w:rsid w:val="004C3C83"/>
    <w:rsid w:val="004C4510"/>
    <w:rsid w:val="004C46C0"/>
    <w:rsid w:val="004C514F"/>
    <w:rsid w:val="004C646A"/>
    <w:rsid w:val="004C66B3"/>
    <w:rsid w:val="004C70BC"/>
    <w:rsid w:val="004D059C"/>
    <w:rsid w:val="004D0EB3"/>
    <w:rsid w:val="004D1BEF"/>
    <w:rsid w:val="004D1C97"/>
    <w:rsid w:val="004D1F94"/>
    <w:rsid w:val="004D2272"/>
    <w:rsid w:val="004D2765"/>
    <w:rsid w:val="004D2BE6"/>
    <w:rsid w:val="004D34A0"/>
    <w:rsid w:val="004D368D"/>
    <w:rsid w:val="004D3DF8"/>
    <w:rsid w:val="004D649F"/>
    <w:rsid w:val="004D6B57"/>
    <w:rsid w:val="004D749D"/>
    <w:rsid w:val="004D7516"/>
    <w:rsid w:val="004E0E81"/>
    <w:rsid w:val="004E19D5"/>
    <w:rsid w:val="004E2380"/>
    <w:rsid w:val="004E24D2"/>
    <w:rsid w:val="004E2C0A"/>
    <w:rsid w:val="004E3BAF"/>
    <w:rsid w:val="004E45EF"/>
    <w:rsid w:val="004E59D6"/>
    <w:rsid w:val="004E5EB4"/>
    <w:rsid w:val="004E7AF2"/>
    <w:rsid w:val="004E7F4E"/>
    <w:rsid w:val="004F03C1"/>
    <w:rsid w:val="004F0A56"/>
    <w:rsid w:val="004F273D"/>
    <w:rsid w:val="004F282E"/>
    <w:rsid w:val="004F3DEA"/>
    <w:rsid w:val="004F5D79"/>
    <w:rsid w:val="004F6407"/>
    <w:rsid w:val="004F678C"/>
    <w:rsid w:val="004F6AE4"/>
    <w:rsid w:val="004F6DD4"/>
    <w:rsid w:val="004F7057"/>
    <w:rsid w:val="004F74BE"/>
    <w:rsid w:val="00500A37"/>
    <w:rsid w:val="005017EB"/>
    <w:rsid w:val="00503865"/>
    <w:rsid w:val="00503CDA"/>
    <w:rsid w:val="005047ED"/>
    <w:rsid w:val="00505361"/>
    <w:rsid w:val="00506D37"/>
    <w:rsid w:val="005073FE"/>
    <w:rsid w:val="00507E06"/>
    <w:rsid w:val="00510097"/>
    <w:rsid w:val="00510F9F"/>
    <w:rsid w:val="005110B7"/>
    <w:rsid w:val="005110C1"/>
    <w:rsid w:val="00511A08"/>
    <w:rsid w:val="005134AF"/>
    <w:rsid w:val="0051358A"/>
    <w:rsid w:val="00513692"/>
    <w:rsid w:val="0051682C"/>
    <w:rsid w:val="00516912"/>
    <w:rsid w:val="00520FCB"/>
    <w:rsid w:val="00522750"/>
    <w:rsid w:val="005245FF"/>
    <w:rsid w:val="00524D5F"/>
    <w:rsid w:val="005255BC"/>
    <w:rsid w:val="00525794"/>
    <w:rsid w:val="005259DE"/>
    <w:rsid w:val="005267AA"/>
    <w:rsid w:val="00530443"/>
    <w:rsid w:val="005307C3"/>
    <w:rsid w:val="00530B0C"/>
    <w:rsid w:val="00530B48"/>
    <w:rsid w:val="005311AD"/>
    <w:rsid w:val="005312DB"/>
    <w:rsid w:val="00531308"/>
    <w:rsid w:val="005319F2"/>
    <w:rsid w:val="0053234D"/>
    <w:rsid w:val="005361BF"/>
    <w:rsid w:val="005369C4"/>
    <w:rsid w:val="00540B3E"/>
    <w:rsid w:val="005414D5"/>
    <w:rsid w:val="00542B4A"/>
    <w:rsid w:val="00544280"/>
    <w:rsid w:val="00544820"/>
    <w:rsid w:val="00545D14"/>
    <w:rsid w:val="005463C3"/>
    <w:rsid w:val="00546B4A"/>
    <w:rsid w:val="00546B9A"/>
    <w:rsid w:val="00547122"/>
    <w:rsid w:val="00552A26"/>
    <w:rsid w:val="0055312A"/>
    <w:rsid w:val="0055429A"/>
    <w:rsid w:val="005555C2"/>
    <w:rsid w:val="005558BD"/>
    <w:rsid w:val="005610C8"/>
    <w:rsid w:val="00563421"/>
    <w:rsid w:val="005637B5"/>
    <w:rsid w:val="00564D76"/>
    <w:rsid w:val="00565893"/>
    <w:rsid w:val="00566133"/>
    <w:rsid w:val="005703A5"/>
    <w:rsid w:val="0057113A"/>
    <w:rsid w:val="00572A2F"/>
    <w:rsid w:val="0057357F"/>
    <w:rsid w:val="0057452E"/>
    <w:rsid w:val="00574702"/>
    <w:rsid w:val="0057546F"/>
    <w:rsid w:val="0057606C"/>
    <w:rsid w:val="0057630D"/>
    <w:rsid w:val="00577F25"/>
    <w:rsid w:val="005802B1"/>
    <w:rsid w:val="005812DA"/>
    <w:rsid w:val="00581ECC"/>
    <w:rsid w:val="00582F04"/>
    <w:rsid w:val="00583153"/>
    <w:rsid w:val="0058401B"/>
    <w:rsid w:val="005847E7"/>
    <w:rsid w:val="00584B44"/>
    <w:rsid w:val="005851B4"/>
    <w:rsid w:val="00585A40"/>
    <w:rsid w:val="005864A5"/>
    <w:rsid w:val="0059022B"/>
    <w:rsid w:val="00592303"/>
    <w:rsid w:val="00593132"/>
    <w:rsid w:val="005934D3"/>
    <w:rsid w:val="005937F8"/>
    <w:rsid w:val="0059472D"/>
    <w:rsid w:val="00595CAE"/>
    <w:rsid w:val="00596818"/>
    <w:rsid w:val="005A0571"/>
    <w:rsid w:val="005A167D"/>
    <w:rsid w:val="005A2CF4"/>
    <w:rsid w:val="005A3E13"/>
    <w:rsid w:val="005A4118"/>
    <w:rsid w:val="005A5A28"/>
    <w:rsid w:val="005A6CA1"/>
    <w:rsid w:val="005A7DE4"/>
    <w:rsid w:val="005B2415"/>
    <w:rsid w:val="005B3B91"/>
    <w:rsid w:val="005B4514"/>
    <w:rsid w:val="005B5248"/>
    <w:rsid w:val="005B5F33"/>
    <w:rsid w:val="005B5F81"/>
    <w:rsid w:val="005B6D73"/>
    <w:rsid w:val="005C0219"/>
    <w:rsid w:val="005C14A0"/>
    <w:rsid w:val="005C26D1"/>
    <w:rsid w:val="005C4888"/>
    <w:rsid w:val="005C48DF"/>
    <w:rsid w:val="005C48E2"/>
    <w:rsid w:val="005C5050"/>
    <w:rsid w:val="005C5761"/>
    <w:rsid w:val="005C590C"/>
    <w:rsid w:val="005C5A3F"/>
    <w:rsid w:val="005C685B"/>
    <w:rsid w:val="005C72AA"/>
    <w:rsid w:val="005D0634"/>
    <w:rsid w:val="005D1549"/>
    <w:rsid w:val="005D1A31"/>
    <w:rsid w:val="005D3753"/>
    <w:rsid w:val="005D4572"/>
    <w:rsid w:val="005D5728"/>
    <w:rsid w:val="005D5973"/>
    <w:rsid w:val="005D702F"/>
    <w:rsid w:val="005D715F"/>
    <w:rsid w:val="005D750A"/>
    <w:rsid w:val="005D7945"/>
    <w:rsid w:val="005E2A6C"/>
    <w:rsid w:val="005E4AE3"/>
    <w:rsid w:val="005E594F"/>
    <w:rsid w:val="005E5ABE"/>
    <w:rsid w:val="005E68A9"/>
    <w:rsid w:val="005E6EF0"/>
    <w:rsid w:val="005E7CF6"/>
    <w:rsid w:val="005F2735"/>
    <w:rsid w:val="005F2B60"/>
    <w:rsid w:val="005F2E51"/>
    <w:rsid w:val="005F473D"/>
    <w:rsid w:val="0060086E"/>
    <w:rsid w:val="00601DB0"/>
    <w:rsid w:val="00602A03"/>
    <w:rsid w:val="00602A8C"/>
    <w:rsid w:val="006057BB"/>
    <w:rsid w:val="00605A97"/>
    <w:rsid w:val="00605C67"/>
    <w:rsid w:val="00607577"/>
    <w:rsid w:val="00607AF1"/>
    <w:rsid w:val="00610503"/>
    <w:rsid w:val="00610F36"/>
    <w:rsid w:val="00611847"/>
    <w:rsid w:val="006119F9"/>
    <w:rsid w:val="00611B60"/>
    <w:rsid w:val="00611E9F"/>
    <w:rsid w:val="00613939"/>
    <w:rsid w:val="00614123"/>
    <w:rsid w:val="006142D8"/>
    <w:rsid w:val="0061488A"/>
    <w:rsid w:val="00616932"/>
    <w:rsid w:val="006175BA"/>
    <w:rsid w:val="00617978"/>
    <w:rsid w:val="00617C37"/>
    <w:rsid w:val="00620187"/>
    <w:rsid w:val="006208EC"/>
    <w:rsid w:val="00620B29"/>
    <w:rsid w:val="00620F33"/>
    <w:rsid w:val="00621017"/>
    <w:rsid w:val="006215B0"/>
    <w:rsid w:val="00621846"/>
    <w:rsid w:val="0062338F"/>
    <w:rsid w:val="00624F2E"/>
    <w:rsid w:val="006264EF"/>
    <w:rsid w:val="0062796F"/>
    <w:rsid w:val="006311FE"/>
    <w:rsid w:val="0063146C"/>
    <w:rsid w:val="006315DD"/>
    <w:rsid w:val="00633E33"/>
    <w:rsid w:val="00634715"/>
    <w:rsid w:val="00634805"/>
    <w:rsid w:val="00634E28"/>
    <w:rsid w:val="00634EB7"/>
    <w:rsid w:val="00635012"/>
    <w:rsid w:val="006359FF"/>
    <w:rsid w:val="00636045"/>
    <w:rsid w:val="006360E2"/>
    <w:rsid w:val="006364A2"/>
    <w:rsid w:val="00637C61"/>
    <w:rsid w:val="00637F70"/>
    <w:rsid w:val="00640187"/>
    <w:rsid w:val="0064046B"/>
    <w:rsid w:val="0064086F"/>
    <w:rsid w:val="006408FF"/>
    <w:rsid w:val="00641BA6"/>
    <w:rsid w:val="00642316"/>
    <w:rsid w:val="00642831"/>
    <w:rsid w:val="00644556"/>
    <w:rsid w:val="00645836"/>
    <w:rsid w:val="00646C25"/>
    <w:rsid w:val="00646DF4"/>
    <w:rsid w:val="00646EEE"/>
    <w:rsid w:val="00647D71"/>
    <w:rsid w:val="0065147F"/>
    <w:rsid w:val="00652FE8"/>
    <w:rsid w:val="00655FDC"/>
    <w:rsid w:val="0065725D"/>
    <w:rsid w:val="00657A5C"/>
    <w:rsid w:val="0066022A"/>
    <w:rsid w:val="00660F82"/>
    <w:rsid w:val="00662E56"/>
    <w:rsid w:val="006639C7"/>
    <w:rsid w:val="00663B37"/>
    <w:rsid w:val="00663EA2"/>
    <w:rsid w:val="00664439"/>
    <w:rsid w:val="00665D08"/>
    <w:rsid w:val="006670C6"/>
    <w:rsid w:val="00670B57"/>
    <w:rsid w:val="0067209C"/>
    <w:rsid w:val="0067231E"/>
    <w:rsid w:val="006736A2"/>
    <w:rsid w:val="006736D8"/>
    <w:rsid w:val="00674152"/>
    <w:rsid w:val="006748EA"/>
    <w:rsid w:val="00674AAA"/>
    <w:rsid w:val="00677505"/>
    <w:rsid w:val="00680186"/>
    <w:rsid w:val="00681B1F"/>
    <w:rsid w:val="00681DB8"/>
    <w:rsid w:val="00681EF4"/>
    <w:rsid w:val="0068245F"/>
    <w:rsid w:val="00682CE7"/>
    <w:rsid w:val="006838B7"/>
    <w:rsid w:val="00685218"/>
    <w:rsid w:val="00686599"/>
    <w:rsid w:val="00686F44"/>
    <w:rsid w:val="0068728A"/>
    <w:rsid w:val="0068758B"/>
    <w:rsid w:val="0069334E"/>
    <w:rsid w:val="00693C16"/>
    <w:rsid w:val="006940B2"/>
    <w:rsid w:val="006944B8"/>
    <w:rsid w:val="00694B1E"/>
    <w:rsid w:val="00695C15"/>
    <w:rsid w:val="00695FA6"/>
    <w:rsid w:val="0069734E"/>
    <w:rsid w:val="006A1363"/>
    <w:rsid w:val="006A1401"/>
    <w:rsid w:val="006A1CED"/>
    <w:rsid w:val="006A2066"/>
    <w:rsid w:val="006A3160"/>
    <w:rsid w:val="006A53F1"/>
    <w:rsid w:val="006A5EC0"/>
    <w:rsid w:val="006A6A7B"/>
    <w:rsid w:val="006B33E4"/>
    <w:rsid w:val="006B34A1"/>
    <w:rsid w:val="006B76A3"/>
    <w:rsid w:val="006C024D"/>
    <w:rsid w:val="006C04DE"/>
    <w:rsid w:val="006C1418"/>
    <w:rsid w:val="006C1F9F"/>
    <w:rsid w:val="006C21FA"/>
    <w:rsid w:val="006C4116"/>
    <w:rsid w:val="006C4D82"/>
    <w:rsid w:val="006C4E97"/>
    <w:rsid w:val="006D00FF"/>
    <w:rsid w:val="006D0E31"/>
    <w:rsid w:val="006D336E"/>
    <w:rsid w:val="006D3A4F"/>
    <w:rsid w:val="006D4533"/>
    <w:rsid w:val="006D74E1"/>
    <w:rsid w:val="006D768C"/>
    <w:rsid w:val="006D7EC4"/>
    <w:rsid w:val="006E0E37"/>
    <w:rsid w:val="006E12D4"/>
    <w:rsid w:val="006E15EE"/>
    <w:rsid w:val="006E22EF"/>
    <w:rsid w:val="006E34DF"/>
    <w:rsid w:val="006E3C50"/>
    <w:rsid w:val="006E4F72"/>
    <w:rsid w:val="006E56D1"/>
    <w:rsid w:val="006E5891"/>
    <w:rsid w:val="006E5D74"/>
    <w:rsid w:val="006E6CA4"/>
    <w:rsid w:val="006E7002"/>
    <w:rsid w:val="006E7B10"/>
    <w:rsid w:val="006E7B15"/>
    <w:rsid w:val="006F0E16"/>
    <w:rsid w:val="006F1AA7"/>
    <w:rsid w:val="006F287D"/>
    <w:rsid w:val="006F2BD5"/>
    <w:rsid w:val="006F39C5"/>
    <w:rsid w:val="006F41DF"/>
    <w:rsid w:val="006F57E1"/>
    <w:rsid w:val="006F6142"/>
    <w:rsid w:val="006F6494"/>
    <w:rsid w:val="006F7239"/>
    <w:rsid w:val="00703139"/>
    <w:rsid w:val="00705147"/>
    <w:rsid w:val="00706496"/>
    <w:rsid w:val="00706A85"/>
    <w:rsid w:val="00706CEE"/>
    <w:rsid w:val="00706E4E"/>
    <w:rsid w:val="007102C3"/>
    <w:rsid w:val="007123A4"/>
    <w:rsid w:val="00712441"/>
    <w:rsid w:val="00713434"/>
    <w:rsid w:val="007136A9"/>
    <w:rsid w:val="007149FC"/>
    <w:rsid w:val="00717152"/>
    <w:rsid w:val="00717683"/>
    <w:rsid w:val="007209B0"/>
    <w:rsid w:val="007215CE"/>
    <w:rsid w:val="00721F5A"/>
    <w:rsid w:val="00722FCF"/>
    <w:rsid w:val="00724996"/>
    <w:rsid w:val="00724BDB"/>
    <w:rsid w:val="00724BF2"/>
    <w:rsid w:val="00725DD9"/>
    <w:rsid w:val="00727303"/>
    <w:rsid w:val="00727645"/>
    <w:rsid w:val="00727BD2"/>
    <w:rsid w:val="00730405"/>
    <w:rsid w:val="0073315C"/>
    <w:rsid w:val="00734631"/>
    <w:rsid w:val="00734C75"/>
    <w:rsid w:val="007363B2"/>
    <w:rsid w:val="00736813"/>
    <w:rsid w:val="00736D01"/>
    <w:rsid w:val="00736D9A"/>
    <w:rsid w:val="00737906"/>
    <w:rsid w:val="00737A55"/>
    <w:rsid w:val="0074122A"/>
    <w:rsid w:val="007415A4"/>
    <w:rsid w:val="0074242E"/>
    <w:rsid w:val="00742A05"/>
    <w:rsid w:val="007432D1"/>
    <w:rsid w:val="00744853"/>
    <w:rsid w:val="00744A23"/>
    <w:rsid w:val="00746B60"/>
    <w:rsid w:val="007479F3"/>
    <w:rsid w:val="00750137"/>
    <w:rsid w:val="0075159F"/>
    <w:rsid w:val="00751CC6"/>
    <w:rsid w:val="00752329"/>
    <w:rsid w:val="00752EA3"/>
    <w:rsid w:val="0075345F"/>
    <w:rsid w:val="00753F35"/>
    <w:rsid w:val="007545C4"/>
    <w:rsid w:val="007546A4"/>
    <w:rsid w:val="00756491"/>
    <w:rsid w:val="00760174"/>
    <w:rsid w:val="007603D2"/>
    <w:rsid w:val="00762122"/>
    <w:rsid w:val="00762544"/>
    <w:rsid w:val="00763212"/>
    <w:rsid w:val="0076416A"/>
    <w:rsid w:val="0076418A"/>
    <w:rsid w:val="00764482"/>
    <w:rsid w:val="00764949"/>
    <w:rsid w:val="00767723"/>
    <w:rsid w:val="007679EB"/>
    <w:rsid w:val="00767AC7"/>
    <w:rsid w:val="00767E67"/>
    <w:rsid w:val="00771E16"/>
    <w:rsid w:val="00772238"/>
    <w:rsid w:val="0077245A"/>
    <w:rsid w:val="00772A12"/>
    <w:rsid w:val="0077350D"/>
    <w:rsid w:val="00773C08"/>
    <w:rsid w:val="00774052"/>
    <w:rsid w:val="007745D8"/>
    <w:rsid w:val="00775524"/>
    <w:rsid w:val="007762BA"/>
    <w:rsid w:val="00777556"/>
    <w:rsid w:val="007777FA"/>
    <w:rsid w:val="00780A96"/>
    <w:rsid w:val="00780E71"/>
    <w:rsid w:val="00781412"/>
    <w:rsid w:val="00782A1B"/>
    <w:rsid w:val="00782D4A"/>
    <w:rsid w:val="00783051"/>
    <w:rsid w:val="00783733"/>
    <w:rsid w:val="00783ABA"/>
    <w:rsid w:val="00784404"/>
    <w:rsid w:val="007854A0"/>
    <w:rsid w:val="00785B1F"/>
    <w:rsid w:val="00785F66"/>
    <w:rsid w:val="00786CF9"/>
    <w:rsid w:val="0078701C"/>
    <w:rsid w:val="0078779B"/>
    <w:rsid w:val="007908CC"/>
    <w:rsid w:val="00790A75"/>
    <w:rsid w:val="00790C32"/>
    <w:rsid w:val="0079166E"/>
    <w:rsid w:val="00791F62"/>
    <w:rsid w:val="00793098"/>
    <w:rsid w:val="00793CB0"/>
    <w:rsid w:val="00794215"/>
    <w:rsid w:val="00794291"/>
    <w:rsid w:val="00794708"/>
    <w:rsid w:val="00795443"/>
    <w:rsid w:val="00796C3B"/>
    <w:rsid w:val="00796D7D"/>
    <w:rsid w:val="00797722"/>
    <w:rsid w:val="007A1003"/>
    <w:rsid w:val="007A1300"/>
    <w:rsid w:val="007A210C"/>
    <w:rsid w:val="007A258F"/>
    <w:rsid w:val="007A3701"/>
    <w:rsid w:val="007A3953"/>
    <w:rsid w:val="007A70E5"/>
    <w:rsid w:val="007A7BD7"/>
    <w:rsid w:val="007A7C56"/>
    <w:rsid w:val="007B12E5"/>
    <w:rsid w:val="007B20B7"/>
    <w:rsid w:val="007B2D49"/>
    <w:rsid w:val="007B3D9F"/>
    <w:rsid w:val="007B7DE1"/>
    <w:rsid w:val="007C0415"/>
    <w:rsid w:val="007C489A"/>
    <w:rsid w:val="007C4C3E"/>
    <w:rsid w:val="007C57CB"/>
    <w:rsid w:val="007C627E"/>
    <w:rsid w:val="007C7A03"/>
    <w:rsid w:val="007D00AE"/>
    <w:rsid w:val="007D059C"/>
    <w:rsid w:val="007D1181"/>
    <w:rsid w:val="007D1AFB"/>
    <w:rsid w:val="007D214C"/>
    <w:rsid w:val="007D235A"/>
    <w:rsid w:val="007D2D49"/>
    <w:rsid w:val="007D2E76"/>
    <w:rsid w:val="007D40A6"/>
    <w:rsid w:val="007D6EEA"/>
    <w:rsid w:val="007D7D51"/>
    <w:rsid w:val="007E03E8"/>
    <w:rsid w:val="007E082B"/>
    <w:rsid w:val="007E09EF"/>
    <w:rsid w:val="007E264C"/>
    <w:rsid w:val="007E527F"/>
    <w:rsid w:val="007E59E5"/>
    <w:rsid w:val="007F0262"/>
    <w:rsid w:val="007F1118"/>
    <w:rsid w:val="007F4C59"/>
    <w:rsid w:val="007F4D7B"/>
    <w:rsid w:val="007F631B"/>
    <w:rsid w:val="008011B0"/>
    <w:rsid w:val="00803988"/>
    <w:rsid w:val="00805EAD"/>
    <w:rsid w:val="00806AEA"/>
    <w:rsid w:val="00810A21"/>
    <w:rsid w:val="00810FD1"/>
    <w:rsid w:val="00812102"/>
    <w:rsid w:val="00812238"/>
    <w:rsid w:val="00813CC7"/>
    <w:rsid w:val="00814131"/>
    <w:rsid w:val="00814C17"/>
    <w:rsid w:val="00817044"/>
    <w:rsid w:val="00817134"/>
    <w:rsid w:val="008206A2"/>
    <w:rsid w:val="00821249"/>
    <w:rsid w:val="00822249"/>
    <w:rsid w:val="00822F78"/>
    <w:rsid w:val="008252DC"/>
    <w:rsid w:val="00825B92"/>
    <w:rsid w:val="00826790"/>
    <w:rsid w:val="00826BBF"/>
    <w:rsid w:val="00826F83"/>
    <w:rsid w:val="008316AB"/>
    <w:rsid w:val="00833430"/>
    <w:rsid w:val="00833A91"/>
    <w:rsid w:val="00834255"/>
    <w:rsid w:val="00837124"/>
    <w:rsid w:val="00840057"/>
    <w:rsid w:val="00841DFF"/>
    <w:rsid w:val="00842616"/>
    <w:rsid w:val="00842A1E"/>
    <w:rsid w:val="00842BF6"/>
    <w:rsid w:val="00844229"/>
    <w:rsid w:val="008442E8"/>
    <w:rsid w:val="00844FE4"/>
    <w:rsid w:val="008454C2"/>
    <w:rsid w:val="008474F0"/>
    <w:rsid w:val="00851E5F"/>
    <w:rsid w:val="00853561"/>
    <w:rsid w:val="00854CC2"/>
    <w:rsid w:val="0085510F"/>
    <w:rsid w:val="0085569C"/>
    <w:rsid w:val="00855856"/>
    <w:rsid w:val="00856689"/>
    <w:rsid w:val="0086007F"/>
    <w:rsid w:val="00860538"/>
    <w:rsid w:val="00860748"/>
    <w:rsid w:val="00860B40"/>
    <w:rsid w:val="00860D31"/>
    <w:rsid w:val="0086126B"/>
    <w:rsid w:val="00861CCB"/>
    <w:rsid w:val="0086220A"/>
    <w:rsid w:val="008639B1"/>
    <w:rsid w:val="00863AD3"/>
    <w:rsid w:val="00866504"/>
    <w:rsid w:val="008727F4"/>
    <w:rsid w:val="008729C5"/>
    <w:rsid w:val="00873DCC"/>
    <w:rsid w:val="00875F03"/>
    <w:rsid w:val="008763DE"/>
    <w:rsid w:val="008771FD"/>
    <w:rsid w:val="008801A3"/>
    <w:rsid w:val="00880B53"/>
    <w:rsid w:val="00880C89"/>
    <w:rsid w:val="0088153A"/>
    <w:rsid w:val="008817F9"/>
    <w:rsid w:val="008821A2"/>
    <w:rsid w:val="00882530"/>
    <w:rsid w:val="00883388"/>
    <w:rsid w:val="00883DA5"/>
    <w:rsid w:val="00883F16"/>
    <w:rsid w:val="00885ECF"/>
    <w:rsid w:val="00886517"/>
    <w:rsid w:val="008867BB"/>
    <w:rsid w:val="00887B69"/>
    <w:rsid w:val="00887C43"/>
    <w:rsid w:val="00890098"/>
    <w:rsid w:val="00893192"/>
    <w:rsid w:val="00893FBD"/>
    <w:rsid w:val="00894250"/>
    <w:rsid w:val="00895506"/>
    <w:rsid w:val="00895819"/>
    <w:rsid w:val="00895BB6"/>
    <w:rsid w:val="00896762"/>
    <w:rsid w:val="008968D6"/>
    <w:rsid w:val="008A1CD9"/>
    <w:rsid w:val="008A3517"/>
    <w:rsid w:val="008A40A8"/>
    <w:rsid w:val="008A4CBE"/>
    <w:rsid w:val="008A5068"/>
    <w:rsid w:val="008A5B7C"/>
    <w:rsid w:val="008A69B0"/>
    <w:rsid w:val="008A7323"/>
    <w:rsid w:val="008B0B1D"/>
    <w:rsid w:val="008B0CFA"/>
    <w:rsid w:val="008B0FC1"/>
    <w:rsid w:val="008B3284"/>
    <w:rsid w:val="008B3C12"/>
    <w:rsid w:val="008B46FA"/>
    <w:rsid w:val="008B50DA"/>
    <w:rsid w:val="008B6F50"/>
    <w:rsid w:val="008B756B"/>
    <w:rsid w:val="008B76B4"/>
    <w:rsid w:val="008B7C32"/>
    <w:rsid w:val="008B7DAB"/>
    <w:rsid w:val="008C0219"/>
    <w:rsid w:val="008C22DF"/>
    <w:rsid w:val="008C4AF2"/>
    <w:rsid w:val="008C4FBD"/>
    <w:rsid w:val="008C5679"/>
    <w:rsid w:val="008C6646"/>
    <w:rsid w:val="008C6EBC"/>
    <w:rsid w:val="008C6FF9"/>
    <w:rsid w:val="008C7479"/>
    <w:rsid w:val="008D1349"/>
    <w:rsid w:val="008D27ED"/>
    <w:rsid w:val="008D4A41"/>
    <w:rsid w:val="008D4D5D"/>
    <w:rsid w:val="008D6593"/>
    <w:rsid w:val="008D6843"/>
    <w:rsid w:val="008D7520"/>
    <w:rsid w:val="008E0065"/>
    <w:rsid w:val="008E0766"/>
    <w:rsid w:val="008E08DF"/>
    <w:rsid w:val="008E22B7"/>
    <w:rsid w:val="008E2CCD"/>
    <w:rsid w:val="008E4096"/>
    <w:rsid w:val="008E59FC"/>
    <w:rsid w:val="008E6160"/>
    <w:rsid w:val="008E73A7"/>
    <w:rsid w:val="008E740F"/>
    <w:rsid w:val="008F04D2"/>
    <w:rsid w:val="008F1461"/>
    <w:rsid w:val="008F3577"/>
    <w:rsid w:val="00901978"/>
    <w:rsid w:val="0090333A"/>
    <w:rsid w:val="00903E0E"/>
    <w:rsid w:val="00904D82"/>
    <w:rsid w:val="00904F2D"/>
    <w:rsid w:val="00905478"/>
    <w:rsid w:val="00906BC7"/>
    <w:rsid w:val="0090705C"/>
    <w:rsid w:val="009107D8"/>
    <w:rsid w:val="00912AE3"/>
    <w:rsid w:val="00914268"/>
    <w:rsid w:val="00915A79"/>
    <w:rsid w:val="00916E43"/>
    <w:rsid w:val="0091749D"/>
    <w:rsid w:val="009174E5"/>
    <w:rsid w:val="009175AD"/>
    <w:rsid w:val="00917DB2"/>
    <w:rsid w:val="00920393"/>
    <w:rsid w:val="009212E4"/>
    <w:rsid w:val="00922A3D"/>
    <w:rsid w:val="00923C93"/>
    <w:rsid w:val="00926563"/>
    <w:rsid w:val="00926D67"/>
    <w:rsid w:val="00927BD2"/>
    <w:rsid w:val="00930B5B"/>
    <w:rsid w:val="00937952"/>
    <w:rsid w:val="00940901"/>
    <w:rsid w:val="009412FE"/>
    <w:rsid w:val="0094130D"/>
    <w:rsid w:val="00941D9D"/>
    <w:rsid w:val="00942429"/>
    <w:rsid w:val="009439C6"/>
    <w:rsid w:val="00943B6F"/>
    <w:rsid w:val="009442BE"/>
    <w:rsid w:val="0094521F"/>
    <w:rsid w:val="009470AE"/>
    <w:rsid w:val="0094723A"/>
    <w:rsid w:val="009474C9"/>
    <w:rsid w:val="009500B2"/>
    <w:rsid w:val="0095049D"/>
    <w:rsid w:val="009504E2"/>
    <w:rsid w:val="00951977"/>
    <w:rsid w:val="00951B83"/>
    <w:rsid w:val="00951FC2"/>
    <w:rsid w:val="00952A81"/>
    <w:rsid w:val="00956048"/>
    <w:rsid w:val="009560EB"/>
    <w:rsid w:val="00957A4E"/>
    <w:rsid w:val="0096038F"/>
    <w:rsid w:val="00960F24"/>
    <w:rsid w:val="009628D4"/>
    <w:rsid w:val="00962B78"/>
    <w:rsid w:val="00963055"/>
    <w:rsid w:val="00963A98"/>
    <w:rsid w:val="00963E2F"/>
    <w:rsid w:val="00964DF1"/>
    <w:rsid w:val="00965D94"/>
    <w:rsid w:val="00967242"/>
    <w:rsid w:val="00970C41"/>
    <w:rsid w:val="0097229B"/>
    <w:rsid w:val="00974688"/>
    <w:rsid w:val="00974BD8"/>
    <w:rsid w:val="009752B3"/>
    <w:rsid w:val="0097792F"/>
    <w:rsid w:val="00977F55"/>
    <w:rsid w:val="009807C7"/>
    <w:rsid w:val="00980B5D"/>
    <w:rsid w:val="00981610"/>
    <w:rsid w:val="00981D39"/>
    <w:rsid w:val="009822D5"/>
    <w:rsid w:val="00983211"/>
    <w:rsid w:val="0098639B"/>
    <w:rsid w:val="00990A4C"/>
    <w:rsid w:val="0099161E"/>
    <w:rsid w:val="00991DA8"/>
    <w:rsid w:val="00991EB2"/>
    <w:rsid w:val="009948C0"/>
    <w:rsid w:val="009954E9"/>
    <w:rsid w:val="009A0334"/>
    <w:rsid w:val="009A07E1"/>
    <w:rsid w:val="009A1FDD"/>
    <w:rsid w:val="009A36B2"/>
    <w:rsid w:val="009A39B8"/>
    <w:rsid w:val="009A405D"/>
    <w:rsid w:val="009A5A39"/>
    <w:rsid w:val="009A666A"/>
    <w:rsid w:val="009B049A"/>
    <w:rsid w:val="009B15BA"/>
    <w:rsid w:val="009B167A"/>
    <w:rsid w:val="009B1C56"/>
    <w:rsid w:val="009B38FF"/>
    <w:rsid w:val="009B5B25"/>
    <w:rsid w:val="009B67C8"/>
    <w:rsid w:val="009B6D5D"/>
    <w:rsid w:val="009B7976"/>
    <w:rsid w:val="009C008C"/>
    <w:rsid w:val="009C0D89"/>
    <w:rsid w:val="009C15DE"/>
    <w:rsid w:val="009C16C1"/>
    <w:rsid w:val="009C1D13"/>
    <w:rsid w:val="009C1D14"/>
    <w:rsid w:val="009C1EE0"/>
    <w:rsid w:val="009C1FA9"/>
    <w:rsid w:val="009C25D2"/>
    <w:rsid w:val="009C2CE7"/>
    <w:rsid w:val="009C3774"/>
    <w:rsid w:val="009C3A9F"/>
    <w:rsid w:val="009C4E47"/>
    <w:rsid w:val="009C55E3"/>
    <w:rsid w:val="009C75C5"/>
    <w:rsid w:val="009D079A"/>
    <w:rsid w:val="009D0ABB"/>
    <w:rsid w:val="009D214A"/>
    <w:rsid w:val="009D26D2"/>
    <w:rsid w:val="009D2E2B"/>
    <w:rsid w:val="009D3462"/>
    <w:rsid w:val="009D3930"/>
    <w:rsid w:val="009D4358"/>
    <w:rsid w:val="009D46DC"/>
    <w:rsid w:val="009D6163"/>
    <w:rsid w:val="009D6F55"/>
    <w:rsid w:val="009E0334"/>
    <w:rsid w:val="009E3D6E"/>
    <w:rsid w:val="009E3FC6"/>
    <w:rsid w:val="009E40AB"/>
    <w:rsid w:val="009E5194"/>
    <w:rsid w:val="009E548B"/>
    <w:rsid w:val="009E5974"/>
    <w:rsid w:val="009E76BC"/>
    <w:rsid w:val="009F0570"/>
    <w:rsid w:val="009F0F96"/>
    <w:rsid w:val="009F1A8A"/>
    <w:rsid w:val="009F1C49"/>
    <w:rsid w:val="009F2A99"/>
    <w:rsid w:val="009F377F"/>
    <w:rsid w:val="009F3C64"/>
    <w:rsid w:val="009F4BE3"/>
    <w:rsid w:val="009F51B1"/>
    <w:rsid w:val="009F576F"/>
    <w:rsid w:val="009F578F"/>
    <w:rsid w:val="00A0037F"/>
    <w:rsid w:val="00A0155E"/>
    <w:rsid w:val="00A0158D"/>
    <w:rsid w:val="00A036B8"/>
    <w:rsid w:val="00A03A54"/>
    <w:rsid w:val="00A05D9E"/>
    <w:rsid w:val="00A06187"/>
    <w:rsid w:val="00A063F5"/>
    <w:rsid w:val="00A0695F"/>
    <w:rsid w:val="00A07AD0"/>
    <w:rsid w:val="00A11E85"/>
    <w:rsid w:val="00A11EA7"/>
    <w:rsid w:val="00A1201D"/>
    <w:rsid w:val="00A12B6B"/>
    <w:rsid w:val="00A13D23"/>
    <w:rsid w:val="00A13E51"/>
    <w:rsid w:val="00A155CF"/>
    <w:rsid w:val="00A161C2"/>
    <w:rsid w:val="00A1648B"/>
    <w:rsid w:val="00A17687"/>
    <w:rsid w:val="00A179AD"/>
    <w:rsid w:val="00A207D9"/>
    <w:rsid w:val="00A21100"/>
    <w:rsid w:val="00A225A5"/>
    <w:rsid w:val="00A239D7"/>
    <w:rsid w:val="00A239E1"/>
    <w:rsid w:val="00A239E7"/>
    <w:rsid w:val="00A23B3A"/>
    <w:rsid w:val="00A246ED"/>
    <w:rsid w:val="00A249B3"/>
    <w:rsid w:val="00A25EA3"/>
    <w:rsid w:val="00A26D81"/>
    <w:rsid w:val="00A27831"/>
    <w:rsid w:val="00A302A2"/>
    <w:rsid w:val="00A304BA"/>
    <w:rsid w:val="00A30A8A"/>
    <w:rsid w:val="00A314D2"/>
    <w:rsid w:val="00A31729"/>
    <w:rsid w:val="00A330DB"/>
    <w:rsid w:val="00A33646"/>
    <w:rsid w:val="00A3370F"/>
    <w:rsid w:val="00A33C13"/>
    <w:rsid w:val="00A342B1"/>
    <w:rsid w:val="00A342B5"/>
    <w:rsid w:val="00A36578"/>
    <w:rsid w:val="00A37249"/>
    <w:rsid w:val="00A3765C"/>
    <w:rsid w:val="00A403EC"/>
    <w:rsid w:val="00A43B4E"/>
    <w:rsid w:val="00A4534A"/>
    <w:rsid w:val="00A47F28"/>
    <w:rsid w:val="00A52110"/>
    <w:rsid w:val="00A526A8"/>
    <w:rsid w:val="00A5279C"/>
    <w:rsid w:val="00A55ABC"/>
    <w:rsid w:val="00A55D42"/>
    <w:rsid w:val="00A57712"/>
    <w:rsid w:val="00A61826"/>
    <w:rsid w:val="00A619C3"/>
    <w:rsid w:val="00A620AA"/>
    <w:rsid w:val="00A629AD"/>
    <w:rsid w:val="00A65E54"/>
    <w:rsid w:val="00A6691D"/>
    <w:rsid w:val="00A66C90"/>
    <w:rsid w:val="00A678E6"/>
    <w:rsid w:val="00A70A7E"/>
    <w:rsid w:val="00A711EC"/>
    <w:rsid w:val="00A71A1D"/>
    <w:rsid w:val="00A72912"/>
    <w:rsid w:val="00A72B80"/>
    <w:rsid w:val="00A742E8"/>
    <w:rsid w:val="00A75820"/>
    <w:rsid w:val="00A75DB1"/>
    <w:rsid w:val="00A763B7"/>
    <w:rsid w:val="00A76B77"/>
    <w:rsid w:val="00A771E2"/>
    <w:rsid w:val="00A77441"/>
    <w:rsid w:val="00A77FF9"/>
    <w:rsid w:val="00A80D58"/>
    <w:rsid w:val="00A81B33"/>
    <w:rsid w:val="00A823AD"/>
    <w:rsid w:val="00A823C2"/>
    <w:rsid w:val="00A83AFC"/>
    <w:rsid w:val="00A9009A"/>
    <w:rsid w:val="00A90912"/>
    <w:rsid w:val="00A91DBF"/>
    <w:rsid w:val="00A92E62"/>
    <w:rsid w:val="00A939B2"/>
    <w:rsid w:val="00A93CE7"/>
    <w:rsid w:val="00A93F27"/>
    <w:rsid w:val="00A94865"/>
    <w:rsid w:val="00A95C40"/>
    <w:rsid w:val="00AA05FE"/>
    <w:rsid w:val="00AA27A1"/>
    <w:rsid w:val="00AA4FAD"/>
    <w:rsid w:val="00AA4FBC"/>
    <w:rsid w:val="00AA5247"/>
    <w:rsid w:val="00AA73C9"/>
    <w:rsid w:val="00AA73CE"/>
    <w:rsid w:val="00AA7BA2"/>
    <w:rsid w:val="00AA7C4F"/>
    <w:rsid w:val="00AA7DC3"/>
    <w:rsid w:val="00AB1227"/>
    <w:rsid w:val="00AB1597"/>
    <w:rsid w:val="00AB16F0"/>
    <w:rsid w:val="00AB1C73"/>
    <w:rsid w:val="00AB315C"/>
    <w:rsid w:val="00AB3C4B"/>
    <w:rsid w:val="00AB4171"/>
    <w:rsid w:val="00AB4300"/>
    <w:rsid w:val="00AB47B6"/>
    <w:rsid w:val="00AB488E"/>
    <w:rsid w:val="00AB5CE7"/>
    <w:rsid w:val="00AB77AE"/>
    <w:rsid w:val="00AC03DB"/>
    <w:rsid w:val="00AC1375"/>
    <w:rsid w:val="00AC3C5D"/>
    <w:rsid w:val="00AC42F3"/>
    <w:rsid w:val="00AC54C7"/>
    <w:rsid w:val="00AC5CC4"/>
    <w:rsid w:val="00AC6452"/>
    <w:rsid w:val="00AC68C2"/>
    <w:rsid w:val="00AD05BE"/>
    <w:rsid w:val="00AD14EC"/>
    <w:rsid w:val="00AD2B39"/>
    <w:rsid w:val="00AD35EB"/>
    <w:rsid w:val="00AD65D2"/>
    <w:rsid w:val="00AD6C69"/>
    <w:rsid w:val="00AD6E32"/>
    <w:rsid w:val="00AD72D3"/>
    <w:rsid w:val="00AE1B13"/>
    <w:rsid w:val="00AE23F5"/>
    <w:rsid w:val="00AE27F2"/>
    <w:rsid w:val="00AE2F17"/>
    <w:rsid w:val="00AE372D"/>
    <w:rsid w:val="00AE386C"/>
    <w:rsid w:val="00AE3DE7"/>
    <w:rsid w:val="00AE526B"/>
    <w:rsid w:val="00AF0374"/>
    <w:rsid w:val="00AF07DC"/>
    <w:rsid w:val="00AF22A7"/>
    <w:rsid w:val="00AF2981"/>
    <w:rsid w:val="00AF2E9D"/>
    <w:rsid w:val="00AF3160"/>
    <w:rsid w:val="00AF4384"/>
    <w:rsid w:val="00AF47FE"/>
    <w:rsid w:val="00AF555D"/>
    <w:rsid w:val="00AF558C"/>
    <w:rsid w:val="00AF785C"/>
    <w:rsid w:val="00B01181"/>
    <w:rsid w:val="00B0167A"/>
    <w:rsid w:val="00B021A2"/>
    <w:rsid w:val="00B02944"/>
    <w:rsid w:val="00B02B6B"/>
    <w:rsid w:val="00B04477"/>
    <w:rsid w:val="00B045CE"/>
    <w:rsid w:val="00B046E5"/>
    <w:rsid w:val="00B04776"/>
    <w:rsid w:val="00B059FC"/>
    <w:rsid w:val="00B0627D"/>
    <w:rsid w:val="00B10A7B"/>
    <w:rsid w:val="00B11AFF"/>
    <w:rsid w:val="00B16140"/>
    <w:rsid w:val="00B16794"/>
    <w:rsid w:val="00B17B07"/>
    <w:rsid w:val="00B17D43"/>
    <w:rsid w:val="00B2037C"/>
    <w:rsid w:val="00B20D5C"/>
    <w:rsid w:val="00B20DAE"/>
    <w:rsid w:val="00B20E5B"/>
    <w:rsid w:val="00B21FA9"/>
    <w:rsid w:val="00B2206A"/>
    <w:rsid w:val="00B223F0"/>
    <w:rsid w:val="00B22A4B"/>
    <w:rsid w:val="00B261E8"/>
    <w:rsid w:val="00B27E03"/>
    <w:rsid w:val="00B306F8"/>
    <w:rsid w:val="00B30954"/>
    <w:rsid w:val="00B31808"/>
    <w:rsid w:val="00B318F3"/>
    <w:rsid w:val="00B32583"/>
    <w:rsid w:val="00B326F4"/>
    <w:rsid w:val="00B33BB5"/>
    <w:rsid w:val="00B34564"/>
    <w:rsid w:val="00B364C7"/>
    <w:rsid w:val="00B37A29"/>
    <w:rsid w:val="00B40586"/>
    <w:rsid w:val="00B40C97"/>
    <w:rsid w:val="00B4146A"/>
    <w:rsid w:val="00B42600"/>
    <w:rsid w:val="00B42E1D"/>
    <w:rsid w:val="00B44AC3"/>
    <w:rsid w:val="00B46280"/>
    <w:rsid w:val="00B462AF"/>
    <w:rsid w:val="00B47632"/>
    <w:rsid w:val="00B47A60"/>
    <w:rsid w:val="00B50F00"/>
    <w:rsid w:val="00B511B7"/>
    <w:rsid w:val="00B51916"/>
    <w:rsid w:val="00B51AA8"/>
    <w:rsid w:val="00B51DAA"/>
    <w:rsid w:val="00B53A97"/>
    <w:rsid w:val="00B54512"/>
    <w:rsid w:val="00B5561A"/>
    <w:rsid w:val="00B56975"/>
    <w:rsid w:val="00B6097D"/>
    <w:rsid w:val="00B60E09"/>
    <w:rsid w:val="00B63156"/>
    <w:rsid w:val="00B6334D"/>
    <w:rsid w:val="00B63CED"/>
    <w:rsid w:val="00B644BE"/>
    <w:rsid w:val="00B64AFC"/>
    <w:rsid w:val="00B64C52"/>
    <w:rsid w:val="00B66BC6"/>
    <w:rsid w:val="00B67454"/>
    <w:rsid w:val="00B67579"/>
    <w:rsid w:val="00B67695"/>
    <w:rsid w:val="00B7074F"/>
    <w:rsid w:val="00B70846"/>
    <w:rsid w:val="00B7147D"/>
    <w:rsid w:val="00B71792"/>
    <w:rsid w:val="00B73008"/>
    <w:rsid w:val="00B731B2"/>
    <w:rsid w:val="00B741C5"/>
    <w:rsid w:val="00B7478B"/>
    <w:rsid w:val="00B7504B"/>
    <w:rsid w:val="00B75C7D"/>
    <w:rsid w:val="00B75D6C"/>
    <w:rsid w:val="00B75DC6"/>
    <w:rsid w:val="00B7692B"/>
    <w:rsid w:val="00B769F3"/>
    <w:rsid w:val="00B76AA0"/>
    <w:rsid w:val="00B812D2"/>
    <w:rsid w:val="00B84B2B"/>
    <w:rsid w:val="00B8549A"/>
    <w:rsid w:val="00B861A7"/>
    <w:rsid w:val="00B87B88"/>
    <w:rsid w:val="00B90530"/>
    <w:rsid w:val="00B9120C"/>
    <w:rsid w:val="00B91EF7"/>
    <w:rsid w:val="00B9320F"/>
    <w:rsid w:val="00B93352"/>
    <w:rsid w:val="00B93951"/>
    <w:rsid w:val="00B94B56"/>
    <w:rsid w:val="00B9635C"/>
    <w:rsid w:val="00BA0037"/>
    <w:rsid w:val="00BA0A92"/>
    <w:rsid w:val="00BA1D3A"/>
    <w:rsid w:val="00BA400E"/>
    <w:rsid w:val="00BA4617"/>
    <w:rsid w:val="00BA4682"/>
    <w:rsid w:val="00BA4AF9"/>
    <w:rsid w:val="00BA644F"/>
    <w:rsid w:val="00BB20BA"/>
    <w:rsid w:val="00BB23E1"/>
    <w:rsid w:val="00BB3CD5"/>
    <w:rsid w:val="00BB4D38"/>
    <w:rsid w:val="00BB7779"/>
    <w:rsid w:val="00BC06AC"/>
    <w:rsid w:val="00BC18AF"/>
    <w:rsid w:val="00BC2702"/>
    <w:rsid w:val="00BC3301"/>
    <w:rsid w:val="00BC378B"/>
    <w:rsid w:val="00BC455A"/>
    <w:rsid w:val="00BC78DB"/>
    <w:rsid w:val="00BC7D79"/>
    <w:rsid w:val="00BD1335"/>
    <w:rsid w:val="00BD14C6"/>
    <w:rsid w:val="00BD1A0E"/>
    <w:rsid w:val="00BD2CF2"/>
    <w:rsid w:val="00BD2F41"/>
    <w:rsid w:val="00BD33CE"/>
    <w:rsid w:val="00BD36F4"/>
    <w:rsid w:val="00BD41AB"/>
    <w:rsid w:val="00BD4AE3"/>
    <w:rsid w:val="00BD541A"/>
    <w:rsid w:val="00BD5D16"/>
    <w:rsid w:val="00BD6149"/>
    <w:rsid w:val="00BD656D"/>
    <w:rsid w:val="00BD67B1"/>
    <w:rsid w:val="00BD7192"/>
    <w:rsid w:val="00BD7473"/>
    <w:rsid w:val="00BE04AF"/>
    <w:rsid w:val="00BE098F"/>
    <w:rsid w:val="00BE0E5A"/>
    <w:rsid w:val="00BE2A64"/>
    <w:rsid w:val="00BE3939"/>
    <w:rsid w:val="00BE430B"/>
    <w:rsid w:val="00BE44E4"/>
    <w:rsid w:val="00BE4D6C"/>
    <w:rsid w:val="00BE518A"/>
    <w:rsid w:val="00BE631D"/>
    <w:rsid w:val="00BE6F50"/>
    <w:rsid w:val="00BF0131"/>
    <w:rsid w:val="00BF09D0"/>
    <w:rsid w:val="00BF27AB"/>
    <w:rsid w:val="00BF4A0E"/>
    <w:rsid w:val="00BF4CBB"/>
    <w:rsid w:val="00BF6F1D"/>
    <w:rsid w:val="00C02A61"/>
    <w:rsid w:val="00C03BB8"/>
    <w:rsid w:val="00C04B49"/>
    <w:rsid w:val="00C06EBF"/>
    <w:rsid w:val="00C11A28"/>
    <w:rsid w:val="00C140A6"/>
    <w:rsid w:val="00C14308"/>
    <w:rsid w:val="00C149A0"/>
    <w:rsid w:val="00C15A6E"/>
    <w:rsid w:val="00C15AEF"/>
    <w:rsid w:val="00C15BFE"/>
    <w:rsid w:val="00C17F3E"/>
    <w:rsid w:val="00C206C0"/>
    <w:rsid w:val="00C20821"/>
    <w:rsid w:val="00C2098B"/>
    <w:rsid w:val="00C20A37"/>
    <w:rsid w:val="00C21364"/>
    <w:rsid w:val="00C21FFD"/>
    <w:rsid w:val="00C2204C"/>
    <w:rsid w:val="00C22722"/>
    <w:rsid w:val="00C22C03"/>
    <w:rsid w:val="00C24180"/>
    <w:rsid w:val="00C25125"/>
    <w:rsid w:val="00C2515A"/>
    <w:rsid w:val="00C26FC2"/>
    <w:rsid w:val="00C2762C"/>
    <w:rsid w:val="00C27A60"/>
    <w:rsid w:val="00C27AFC"/>
    <w:rsid w:val="00C3141E"/>
    <w:rsid w:val="00C31B2A"/>
    <w:rsid w:val="00C3259D"/>
    <w:rsid w:val="00C32C49"/>
    <w:rsid w:val="00C32DBC"/>
    <w:rsid w:val="00C33FBB"/>
    <w:rsid w:val="00C34C12"/>
    <w:rsid w:val="00C34D22"/>
    <w:rsid w:val="00C35362"/>
    <w:rsid w:val="00C3553C"/>
    <w:rsid w:val="00C355E9"/>
    <w:rsid w:val="00C36101"/>
    <w:rsid w:val="00C3687B"/>
    <w:rsid w:val="00C36CD1"/>
    <w:rsid w:val="00C3789A"/>
    <w:rsid w:val="00C414B5"/>
    <w:rsid w:val="00C41C50"/>
    <w:rsid w:val="00C42B94"/>
    <w:rsid w:val="00C42DC8"/>
    <w:rsid w:val="00C42F6A"/>
    <w:rsid w:val="00C44E08"/>
    <w:rsid w:val="00C4580D"/>
    <w:rsid w:val="00C4596D"/>
    <w:rsid w:val="00C469B0"/>
    <w:rsid w:val="00C503DF"/>
    <w:rsid w:val="00C51BCD"/>
    <w:rsid w:val="00C52561"/>
    <w:rsid w:val="00C5412F"/>
    <w:rsid w:val="00C546EB"/>
    <w:rsid w:val="00C55599"/>
    <w:rsid w:val="00C57DB0"/>
    <w:rsid w:val="00C60246"/>
    <w:rsid w:val="00C609DE"/>
    <w:rsid w:val="00C621A5"/>
    <w:rsid w:val="00C63758"/>
    <w:rsid w:val="00C64811"/>
    <w:rsid w:val="00C65088"/>
    <w:rsid w:val="00C651D8"/>
    <w:rsid w:val="00C658EC"/>
    <w:rsid w:val="00C7052C"/>
    <w:rsid w:val="00C718F4"/>
    <w:rsid w:val="00C72242"/>
    <w:rsid w:val="00C723EB"/>
    <w:rsid w:val="00C7252B"/>
    <w:rsid w:val="00C747A8"/>
    <w:rsid w:val="00C752B5"/>
    <w:rsid w:val="00C755DA"/>
    <w:rsid w:val="00C7570A"/>
    <w:rsid w:val="00C7579A"/>
    <w:rsid w:val="00C76992"/>
    <w:rsid w:val="00C80404"/>
    <w:rsid w:val="00C81D67"/>
    <w:rsid w:val="00C8239C"/>
    <w:rsid w:val="00C8321E"/>
    <w:rsid w:val="00C83683"/>
    <w:rsid w:val="00C84A1A"/>
    <w:rsid w:val="00C87A25"/>
    <w:rsid w:val="00C9363D"/>
    <w:rsid w:val="00C94AC8"/>
    <w:rsid w:val="00C95543"/>
    <w:rsid w:val="00C974DA"/>
    <w:rsid w:val="00C9759F"/>
    <w:rsid w:val="00C97AD4"/>
    <w:rsid w:val="00CA1499"/>
    <w:rsid w:val="00CA2CF5"/>
    <w:rsid w:val="00CA3904"/>
    <w:rsid w:val="00CA42ED"/>
    <w:rsid w:val="00CA438B"/>
    <w:rsid w:val="00CA4B50"/>
    <w:rsid w:val="00CA5058"/>
    <w:rsid w:val="00CA5FDD"/>
    <w:rsid w:val="00CA7D5A"/>
    <w:rsid w:val="00CB2049"/>
    <w:rsid w:val="00CB2591"/>
    <w:rsid w:val="00CB38C9"/>
    <w:rsid w:val="00CB47D7"/>
    <w:rsid w:val="00CB50C8"/>
    <w:rsid w:val="00CB7DE7"/>
    <w:rsid w:val="00CC0FDB"/>
    <w:rsid w:val="00CC1FEC"/>
    <w:rsid w:val="00CC2B19"/>
    <w:rsid w:val="00CC30DB"/>
    <w:rsid w:val="00CC3A8D"/>
    <w:rsid w:val="00CC3C30"/>
    <w:rsid w:val="00CC4E97"/>
    <w:rsid w:val="00CC4FE3"/>
    <w:rsid w:val="00CC5445"/>
    <w:rsid w:val="00CC5B1B"/>
    <w:rsid w:val="00CC6F95"/>
    <w:rsid w:val="00CD02D4"/>
    <w:rsid w:val="00CD0829"/>
    <w:rsid w:val="00CD1A3A"/>
    <w:rsid w:val="00CD1B7C"/>
    <w:rsid w:val="00CD3BC6"/>
    <w:rsid w:val="00CD46F3"/>
    <w:rsid w:val="00CD559D"/>
    <w:rsid w:val="00CD5D3A"/>
    <w:rsid w:val="00CD7196"/>
    <w:rsid w:val="00CD7EF4"/>
    <w:rsid w:val="00CE33F9"/>
    <w:rsid w:val="00CE3503"/>
    <w:rsid w:val="00CE3F63"/>
    <w:rsid w:val="00CE45AB"/>
    <w:rsid w:val="00CE741B"/>
    <w:rsid w:val="00CE7881"/>
    <w:rsid w:val="00CE7A32"/>
    <w:rsid w:val="00CE7D57"/>
    <w:rsid w:val="00CF1ED3"/>
    <w:rsid w:val="00CF286F"/>
    <w:rsid w:val="00CF2916"/>
    <w:rsid w:val="00CF2B70"/>
    <w:rsid w:val="00CF2C09"/>
    <w:rsid w:val="00CF3E84"/>
    <w:rsid w:val="00CF69FE"/>
    <w:rsid w:val="00CF739C"/>
    <w:rsid w:val="00CF7D8B"/>
    <w:rsid w:val="00D0070F"/>
    <w:rsid w:val="00D00A92"/>
    <w:rsid w:val="00D01358"/>
    <w:rsid w:val="00D01B34"/>
    <w:rsid w:val="00D01CF1"/>
    <w:rsid w:val="00D01D51"/>
    <w:rsid w:val="00D04ED5"/>
    <w:rsid w:val="00D05546"/>
    <w:rsid w:val="00D07AAA"/>
    <w:rsid w:val="00D1025E"/>
    <w:rsid w:val="00D13332"/>
    <w:rsid w:val="00D13747"/>
    <w:rsid w:val="00D14649"/>
    <w:rsid w:val="00D15AB8"/>
    <w:rsid w:val="00D16ECB"/>
    <w:rsid w:val="00D175E6"/>
    <w:rsid w:val="00D17BC5"/>
    <w:rsid w:val="00D202D6"/>
    <w:rsid w:val="00D206D1"/>
    <w:rsid w:val="00D218E1"/>
    <w:rsid w:val="00D21FF5"/>
    <w:rsid w:val="00D22092"/>
    <w:rsid w:val="00D22A1D"/>
    <w:rsid w:val="00D25A37"/>
    <w:rsid w:val="00D2636E"/>
    <w:rsid w:val="00D306B5"/>
    <w:rsid w:val="00D306E3"/>
    <w:rsid w:val="00D32427"/>
    <w:rsid w:val="00D32A9B"/>
    <w:rsid w:val="00D32C06"/>
    <w:rsid w:val="00D33238"/>
    <w:rsid w:val="00D34F70"/>
    <w:rsid w:val="00D36564"/>
    <w:rsid w:val="00D401B3"/>
    <w:rsid w:val="00D40646"/>
    <w:rsid w:val="00D42B72"/>
    <w:rsid w:val="00D42BC2"/>
    <w:rsid w:val="00D433ED"/>
    <w:rsid w:val="00D436ED"/>
    <w:rsid w:val="00D45BEB"/>
    <w:rsid w:val="00D471DF"/>
    <w:rsid w:val="00D50BF6"/>
    <w:rsid w:val="00D52109"/>
    <w:rsid w:val="00D5227B"/>
    <w:rsid w:val="00D535EE"/>
    <w:rsid w:val="00D543EB"/>
    <w:rsid w:val="00D5446E"/>
    <w:rsid w:val="00D54B25"/>
    <w:rsid w:val="00D5519F"/>
    <w:rsid w:val="00D55321"/>
    <w:rsid w:val="00D6010D"/>
    <w:rsid w:val="00D60BA4"/>
    <w:rsid w:val="00D6152E"/>
    <w:rsid w:val="00D62B12"/>
    <w:rsid w:val="00D63938"/>
    <w:rsid w:val="00D63B00"/>
    <w:rsid w:val="00D64841"/>
    <w:rsid w:val="00D6493A"/>
    <w:rsid w:val="00D65172"/>
    <w:rsid w:val="00D663FA"/>
    <w:rsid w:val="00D70FA7"/>
    <w:rsid w:val="00D71A78"/>
    <w:rsid w:val="00D71F51"/>
    <w:rsid w:val="00D7298D"/>
    <w:rsid w:val="00D72A70"/>
    <w:rsid w:val="00D75001"/>
    <w:rsid w:val="00D75566"/>
    <w:rsid w:val="00D757A6"/>
    <w:rsid w:val="00D75E74"/>
    <w:rsid w:val="00D77211"/>
    <w:rsid w:val="00D80F0B"/>
    <w:rsid w:val="00D810BB"/>
    <w:rsid w:val="00D82911"/>
    <w:rsid w:val="00D834DE"/>
    <w:rsid w:val="00D834E4"/>
    <w:rsid w:val="00D83740"/>
    <w:rsid w:val="00D83CAA"/>
    <w:rsid w:val="00D84024"/>
    <w:rsid w:val="00D84D4E"/>
    <w:rsid w:val="00D8557C"/>
    <w:rsid w:val="00D85D25"/>
    <w:rsid w:val="00D85F1F"/>
    <w:rsid w:val="00D86EB2"/>
    <w:rsid w:val="00D90072"/>
    <w:rsid w:val="00D9044D"/>
    <w:rsid w:val="00D916B8"/>
    <w:rsid w:val="00D92FAD"/>
    <w:rsid w:val="00D93E6A"/>
    <w:rsid w:val="00D950D2"/>
    <w:rsid w:val="00D964DC"/>
    <w:rsid w:val="00D96948"/>
    <w:rsid w:val="00D97066"/>
    <w:rsid w:val="00DA0DB4"/>
    <w:rsid w:val="00DA15C7"/>
    <w:rsid w:val="00DA2E4E"/>
    <w:rsid w:val="00DA3088"/>
    <w:rsid w:val="00DA416D"/>
    <w:rsid w:val="00DA486D"/>
    <w:rsid w:val="00DA67D8"/>
    <w:rsid w:val="00DA6C72"/>
    <w:rsid w:val="00DA6CD9"/>
    <w:rsid w:val="00DB0F07"/>
    <w:rsid w:val="00DB1859"/>
    <w:rsid w:val="00DB221B"/>
    <w:rsid w:val="00DB25F0"/>
    <w:rsid w:val="00DB4D4F"/>
    <w:rsid w:val="00DB70E0"/>
    <w:rsid w:val="00DB7582"/>
    <w:rsid w:val="00DC0C83"/>
    <w:rsid w:val="00DC194B"/>
    <w:rsid w:val="00DC2EA9"/>
    <w:rsid w:val="00DC45C2"/>
    <w:rsid w:val="00DC6056"/>
    <w:rsid w:val="00DC6CC7"/>
    <w:rsid w:val="00DC6EDA"/>
    <w:rsid w:val="00DD189E"/>
    <w:rsid w:val="00DD1DAB"/>
    <w:rsid w:val="00DD1E30"/>
    <w:rsid w:val="00DD1FB6"/>
    <w:rsid w:val="00DD225F"/>
    <w:rsid w:val="00DD26F9"/>
    <w:rsid w:val="00DD2806"/>
    <w:rsid w:val="00DD3ACF"/>
    <w:rsid w:val="00DD4C21"/>
    <w:rsid w:val="00DD516C"/>
    <w:rsid w:val="00DD5F4E"/>
    <w:rsid w:val="00DD6AAB"/>
    <w:rsid w:val="00DE076E"/>
    <w:rsid w:val="00DE08F3"/>
    <w:rsid w:val="00DE1538"/>
    <w:rsid w:val="00DE2D89"/>
    <w:rsid w:val="00DE47FA"/>
    <w:rsid w:val="00DE4906"/>
    <w:rsid w:val="00DE5329"/>
    <w:rsid w:val="00DE5781"/>
    <w:rsid w:val="00DE581E"/>
    <w:rsid w:val="00DE6818"/>
    <w:rsid w:val="00DF05DE"/>
    <w:rsid w:val="00DF08F2"/>
    <w:rsid w:val="00DF0A33"/>
    <w:rsid w:val="00DF2546"/>
    <w:rsid w:val="00DF6DCC"/>
    <w:rsid w:val="00DF7667"/>
    <w:rsid w:val="00E02C19"/>
    <w:rsid w:val="00E031D2"/>
    <w:rsid w:val="00E03B33"/>
    <w:rsid w:val="00E03FCD"/>
    <w:rsid w:val="00E04D31"/>
    <w:rsid w:val="00E0533F"/>
    <w:rsid w:val="00E05505"/>
    <w:rsid w:val="00E119A0"/>
    <w:rsid w:val="00E11A08"/>
    <w:rsid w:val="00E12C46"/>
    <w:rsid w:val="00E12E37"/>
    <w:rsid w:val="00E1333D"/>
    <w:rsid w:val="00E14C7F"/>
    <w:rsid w:val="00E15C2C"/>
    <w:rsid w:val="00E15E27"/>
    <w:rsid w:val="00E20587"/>
    <w:rsid w:val="00E20809"/>
    <w:rsid w:val="00E20E61"/>
    <w:rsid w:val="00E217DE"/>
    <w:rsid w:val="00E22A19"/>
    <w:rsid w:val="00E242D8"/>
    <w:rsid w:val="00E24D15"/>
    <w:rsid w:val="00E24D9D"/>
    <w:rsid w:val="00E25086"/>
    <w:rsid w:val="00E258BB"/>
    <w:rsid w:val="00E267EF"/>
    <w:rsid w:val="00E27037"/>
    <w:rsid w:val="00E30D0D"/>
    <w:rsid w:val="00E30E76"/>
    <w:rsid w:val="00E3363E"/>
    <w:rsid w:val="00E34710"/>
    <w:rsid w:val="00E36608"/>
    <w:rsid w:val="00E40361"/>
    <w:rsid w:val="00E40BC2"/>
    <w:rsid w:val="00E427F6"/>
    <w:rsid w:val="00E42D96"/>
    <w:rsid w:val="00E4305D"/>
    <w:rsid w:val="00E43974"/>
    <w:rsid w:val="00E448D3"/>
    <w:rsid w:val="00E45855"/>
    <w:rsid w:val="00E45957"/>
    <w:rsid w:val="00E46311"/>
    <w:rsid w:val="00E4780A"/>
    <w:rsid w:val="00E509F7"/>
    <w:rsid w:val="00E50FD2"/>
    <w:rsid w:val="00E51393"/>
    <w:rsid w:val="00E534D1"/>
    <w:rsid w:val="00E54569"/>
    <w:rsid w:val="00E55346"/>
    <w:rsid w:val="00E554A1"/>
    <w:rsid w:val="00E557DC"/>
    <w:rsid w:val="00E56BE3"/>
    <w:rsid w:val="00E57359"/>
    <w:rsid w:val="00E60CBB"/>
    <w:rsid w:val="00E60CEB"/>
    <w:rsid w:val="00E62183"/>
    <w:rsid w:val="00E62A26"/>
    <w:rsid w:val="00E634F2"/>
    <w:rsid w:val="00E664FB"/>
    <w:rsid w:val="00E66EE0"/>
    <w:rsid w:val="00E671BC"/>
    <w:rsid w:val="00E70C09"/>
    <w:rsid w:val="00E70CA5"/>
    <w:rsid w:val="00E735D4"/>
    <w:rsid w:val="00E74750"/>
    <w:rsid w:val="00E74A7B"/>
    <w:rsid w:val="00E76064"/>
    <w:rsid w:val="00E76158"/>
    <w:rsid w:val="00E766CD"/>
    <w:rsid w:val="00E77DA0"/>
    <w:rsid w:val="00E77FD6"/>
    <w:rsid w:val="00E805C7"/>
    <w:rsid w:val="00E81211"/>
    <w:rsid w:val="00E81327"/>
    <w:rsid w:val="00E8232B"/>
    <w:rsid w:val="00E82AB0"/>
    <w:rsid w:val="00E84B7A"/>
    <w:rsid w:val="00E8607E"/>
    <w:rsid w:val="00E8620D"/>
    <w:rsid w:val="00E8713C"/>
    <w:rsid w:val="00E87AA8"/>
    <w:rsid w:val="00E90362"/>
    <w:rsid w:val="00E914AB"/>
    <w:rsid w:val="00E91D3A"/>
    <w:rsid w:val="00E92602"/>
    <w:rsid w:val="00E94D0B"/>
    <w:rsid w:val="00E960A1"/>
    <w:rsid w:val="00E96640"/>
    <w:rsid w:val="00E97DF7"/>
    <w:rsid w:val="00E97F3E"/>
    <w:rsid w:val="00EA1D52"/>
    <w:rsid w:val="00EA200F"/>
    <w:rsid w:val="00EA27C6"/>
    <w:rsid w:val="00EA2EC0"/>
    <w:rsid w:val="00EA4492"/>
    <w:rsid w:val="00EA50D3"/>
    <w:rsid w:val="00EA55BD"/>
    <w:rsid w:val="00EA5F1B"/>
    <w:rsid w:val="00EA71D3"/>
    <w:rsid w:val="00EB0F02"/>
    <w:rsid w:val="00EB0F80"/>
    <w:rsid w:val="00EB0FA7"/>
    <w:rsid w:val="00EB19BD"/>
    <w:rsid w:val="00EB3DAE"/>
    <w:rsid w:val="00EB47E5"/>
    <w:rsid w:val="00EB5686"/>
    <w:rsid w:val="00EB6680"/>
    <w:rsid w:val="00EB66CD"/>
    <w:rsid w:val="00EB71F6"/>
    <w:rsid w:val="00EC0A0A"/>
    <w:rsid w:val="00EC1A26"/>
    <w:rsid w:val="00EC1DED"/>
    <w:rsid w:val="00EC1F73"/>
    <w:rsid w:val="00EC3459"/>
    <w:rsid w:val="00EC352C"/>
    <w:rsid w:val="00EC66F6"/>
    <w:rsid w:val="00EC702C"/>
    <w:rsid w:val="00EC709C"/>
    <w:rsid w:val="00ED038E"/>
    <w:rsid w:val="00ED052B"/>
    <w:rsid w:val="00ED080A"/>
    <w:rsid w:val="00ED0F00"/>
    <w:rsid w:val="00ED2105"/>
    <w:rsid w:val="00ED22B1"/>
    <w:rsid w:val="00ED42CD"/>
    <w:rsid w:val="00ED5695"/>
    <w:rsid w:val="00ED56EF"/>
    <w:rsid w:val="00ED6811"/>
    <w:rsid w:val="00ED6B2F"/>
    <w:rsid w:val="00ED765A"/>
    <w:rsid w:val="00EE01B1"/>
    <w:rsid w:val="00EE04CF"/>
    <w:rsid w:val="00EE05A4"/>
    <w:rsid w:val="00EE06F2"/>
    <w:rsid w:val="00EE2033"/>
    <w:rsid w:val="00EE2D97"/>
    <w:rsid w:val="00EE326D"/>
    <w:rsid w:val="00EE4449"/>
    <w:rsid w:val="00EE47CD"/>
    <w:rsid w:val="00EE53D1"/>
    <w:rsid w:val="00EE6D80"/>
    <w:rsid w:val="00EF10E6"/>
    <w:rsid w:val="00EF1FAC"/>
    <w:rsid w:val="00EF20F9"/>
    <w:rsid w:val="00EF2EA6"/>
    <w:rsid w:val="00EF30DE"/>
    <w:rsid w:val="00EF4322"/>
    <w:rsid w:val="00EF5C27"/>
    <w:rsid w:val="00EF7813"/>
    <w:rsid w:val="00EF7CF6"/>
    <w:rsid w:val="00F03621"/>
    <w:rsid w:val="00F04AED"/>
    <w:rsid w:val="00F04C5F"/>
    <w:rsid w:val="00F04DAF"/>
    <w:rsid w:val="00F04F00"/>
    <w:rsid w:val="00F06281"/>
    <w:rsid w:val="00F0641B"/>
    <w:rsid w:val="00F06AD7"/>
    <w:rsid w:val="00F06FCA"/>
    <w:rsid w:val="00F0742E"/>
    <w:rsid w:val="00F07F88"/>
    <w:rsid w:val="00F100F0"/>
    <w:rsid w:val="00F10DAF"/>
    <w:rsid w:val="00F10E8F"/>
    <w:rsid w:val="00F12401"/>
    <w:rsid w:val="00F12E9C"/>
    <w:rsid w:val="00F132AA"/>
    <w:rsid w:val="00F1351D"/>
    <w:rsid w:val="00F14645"/>
    <w:rsid w:val="00F14BE2"/>
    <w:rsid w:val="00F15F0D"/>
    <w:rsid w:val="00F1638A"/>
    <w:rsid w:val="00F17B3E"/>
    <w:rsid w:val="00F17E04"/>
    <w:rsid w:val="00F217FD"/>
    <w:rsid w:val="00F22FE8"/>
    <w:rsid w:val="00F23482"/>
    <w:rsid w:val="00F255D3"/>
    <w:rsid w:val="00F25BDA"/>
    <w:rsid w:val="00F2626D"/>
    <w:rsid w:val="00F26A1B"/>
    <w:rsid w:val="00F26F62"/>
    <w:rsid w:val="00F275A2"/>
    <w:rsid w:val="00F27B1D"/>
    <w:rsid w:val="00F30B60"/>
    <w:rsid w:val="00F325B4"/>
    <w:rsid w:val="00F32CEB"/>
    <w:rsid w:val="00F32F34"/>
    <w:rsid w:val="00F33241"/>
    <w:rsid w:val="00F343A5"/>
    <w:rsid w:val="00F3596C"/>
    <w:rsid w:val="00F35A8F"/>
    <w:rsid w:val="00F35BB2"/>
    <w:rsid w:val="00F376A7"/>
    <w:rsid w:val="00F37F32"/>
    <w:rsid w:val="00F40173"/>
    <w:rsid w:val="00F4018B"/>
    <w:rsid w:val="00F40C11"/>
    <w:rsid w:val="00F40F12"/>
    <w:rsid w:val="00F416FE"/>
    <w:rsid w:val="00F41ED3"/>
    <w:rsid w:val="00F43D1C"/>
    <w:rsid w:val="00F44E62"/>
    <w:rsid w:val="00F45288"/>
    <w:rsid w:val="00F46234"/>
    <w:rsid w:val="00F46885"/>
    <w:rsid w:val="00F46AB3"/>
    <w:rsid w:val="00F47F80"/>
    <w:rsid w:val="00F51ECB"/>
    <w:rsid w:val="00F5307F"/>
    <w:rsid w:val="00F546DE"/>
    <w:rsid w:val="00F55339"/>
    <w:rsid w:val="00F55783"/>
    <w:rsid w:val="00F57BB5"/>
    <w:rsid w:val="00F61312"/>
    <w:rsid w:val="00F662B4"/>
    <w:rsid w:val="00F6784F"/>
    <w:rsid w:val="00F706B5"/>
    <w:rsid w:val="00F74A91"/>
    <w:rsid w:val="00F7523E"/>
    <w:rsid w:val="00F77847"/>
    <w:rsid w:val="00F81C4B"/>
    <w:rsid w:val="00F81CDF"/>
    <w:rsid w:val="00F82CA9"/>
    <w:rsid w:val="00F82DA1"/>
    <w:rsid w:val="00F83CC5"/>
    <w:rsid w:val="00F83F3B"/>
    <w:rsid w:val="00F86D5E"/>
    <w:rsid w:val="00F87A5C"/>
    <w:rsid w:val="00F90BD2"/>
    <w:rsid w:val="00F90C57"/>
    <w:rsid w:val="00F90D65"/>
    <w:rsid w:val="00F926FB"/>
    <w:rsid w:val="00F92888"/>
    <w:rsid w:val="00F9423D"/>
    <w:rsid w:val="00F95062"/>
    <w:rsid w:val="00F96F03"/>
    <w:rsid w:val="00F97649"/>
    <w:rsid w:val="00FA0187"/>
    <w:rsid w:val="00FA0E15"/>
    <w:rsid w:val="00FA19BC"/>
    <w:rsid w:val="00FA19C4"/>
    <w:rsid w:val="00FA2ACA"/>
    <w:rsid w:val="00FA562E"/>
    <w:rsid w:val="00FA73C3"/>
    <w:rsid w:val="00FA7CDD"/>
    <w:rsid w:val="00FB0590"/>
    <w:rsid w:val="00FB1689"/>
    <w:rsid w:val="00FB1B0B"/>
    <w:rsid w:val="00FB2A86"/>
    <w:rsid w:val="00FB3402"/>
    <w:rsid w:val="00FB34CD"/>
    <w:rsid w:val="00FB36A7"/>
    <w:rsid w:val="00FB46B7"/>
    <w:rsid w:val="00FB4AA2"/>
    <w:rsid w:val="00FB4D18"/>
    <w:rsid w:val="00FB5501"/>
    <w:rsid w:val="00FB6105"/>
    <w:rsid w:val="00FB6124"/>
    <w:rsid w:val="00FB6655"/>
    <w:rsid w:val="00FB73F6"/>
    <w:rsid w:val="00FB7669"/>
    <w:rsid w:val="00FB7948"/>
    <w:rsid w:val="00FB7AD5"/>
    <w:rsid w:val="00FC0251"/>
    <w:rsid w:val="00FC0496"/>
    <w:rsid w:val="00FC1DCF"/>
    <w:rsid w:val="00FC2C65"/>
    <w:rsid w:val="00FC37F7"/>
    <w:rsid w:val="00FC51EF"/>
    <w:rsid w:val="00FC53A7"/>
    <w:rsid w:val="00FC5641"/>
    <w:rsid w:val="00FC56AE"/>
    <w:rsid w:val="00FD02D9"/>
    <w:rsid w:val="00FD0711"/>
    <w:rsid w:val="00FD1779"/>
    <w:rsid w:val="00FD1C6D"/>
    <w:rsid w:val="00FD2E18"/>
    <w:rsid w:val="00FD33B9"/>
    <w:rsid w:val="00FD3810"/>
    <w:rsid w:val="00FD3F4D"/>
    <w:rsid w:val="00FD5956"/>
    <w:rsid w:val="00FD6B95"/>
    <w:rsid w:val="00FD769B"/>
    <w:rsid w:val="00FD7D1B"/>
    <w:rsid w:val="00FE125F"/>
    <w:rsid w:val="00FE21AE"/>
    <w:rsid w:val="00FE2D24"/>
    <w:rsid w:val="00FE3F10"/>
    <w:rsid w:val="00FE41B7"/>
    <w:rsid w:val="00FE5425"/>
    <w:rsid w:val="00FF1AC9"/>
    <w:rsid w:val="00FF1B69"/>
    <w:rsid w:val="00FF24D0"/>
    <w:rsid w:val="00FF30AF"/>
    <w:rsid w:val="00FF3D06"/>
    <w:rsid w:val="00FF61A7"/>
    <w:rsid w:val="00FF7F9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A5056"/>
  <w15:chartTrackingRefBased/>
  <w15:docId w15:val="{C05851EF-DB69-E745-898E-92478251B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B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7603D2"/>
    <w:pPr>
      <w:spacing w:before="100" w:beforeAutospacing="1" w:after="100" w:afterAutospacing="1"/>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273"/>
    <w:pPr>
      <w:tabs>
        <w:tab w:val="center" w:pos="4419"/>
        <w:tab w:val="right" w:pos="8838"/>
      </w:tabs>
    </w:pPr>
  </w:style>
  <w:style w:type="character" w:customStyle="1" w:styleId="EncabezadoCar">
    <w:name w:val="Encabezado Car"/>
    <w:basedOn w:val="Fuentedeprrafopredeter"/>
    <w:link w:val="Encabezado"/>
    <w:uiPriority w:val="99"/>
    <w:rsid w:val="002E4273"/>
  </w:style>
  <w:style w:type="paragraph" w:styleId="Piedepgina">
    <w:name w:val="footer"/>
    <w:basedOn w:val="Normal"/>
    <w:link w:val="PiedepginaCar"/>
    <w:uiPriority w:val="99"/>
    <w:unhideWhenUsed/>
    <w:rsid w:val="002E4273"/>
    <w:pPr>
      <w:tabs>
        <w:tab w:val="center" w:pos="4419"/>
        <w:tab w:val="right" w:pos="8838"/>
      </w:tabs>
    </w:pPr>
  </w:style>
  <w:style w:type="character" w:customStyle="1" w:styleId="PiedepginaCar">
    <w:name w:val="Pie de página Car"/>
    <w:basedOn w:val="Fuentedeprrafopredeter"/>
    <w:link w:val="Piedepgina"/>
    <w:uiPriority w:val="99"/>
    <w:rsid w:val="002E4273"/>
  </w:style>
  <w:style w:type="table" w:styleId="Tablaconcuadrcula">
    <w:name w:val="Table Grid"/>
    <w:basedOn w:val="Tablanormal"/>
    <w:uiPriority w:val="39"/>
    <w:rsid w:val="0054712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03A5"/>
    <w:pPr>
      <w:ind w:left="720"/>
      <w:contextualSpacing/>
    </w:pPr>
    <w:rPr>
      <w:rFonts w:ascii="Times New Roman" w:eastAsia="Times New Roman" w:hAnsi="Times New Roman" w:cs="Times New Roman"/>
      <w:lang w:val="es-MX" w:eastAsia="es-MX"/>
    </w:rPr>
  </w:style>
  <w:style w:type="paragraph" w:styleId="Textoindependiente">
    <w:name w:val="Body Text"/>
    <w:basedOn w:val="Normal"/>
    <w:link w:val="TextoindependienteCar"/>
    <w:uiPriority w:val="1"/>
    <w:unhideWhenUsed/>
    <w:qFormat/>
    <w:rsid w:val="00941D9D"/>
    <w:pPr>
      <w:widowControl w:val="0"/>
      <w:autoSpaceDE w:val="0"/>
      <w:autoSpaceDN w:val="0"/>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941D9D"/>
    <w:rPr>
      <w:rFonts w:ascii="Arial MT" w:eastAsia="Arial MT" w:hAnsi="Arial MT" w:cs="Arial MT"/>
      <w:sz w:val="22"/>
      <w:szCs w:val="22"/>
      <w:lang w:val="es-ES"/>
    </w:rPr>
  </w:style>
  <w:style w:type="character" w:styleId="Hipervnculo">
    <w:name w:val="Hyperlink"/>
    <w:basedOn w:val="Fuentedeprrafopredeter"/>
    <w:uiPriority w:val="99"/>
    <w:unhideWhenUsed/>
    <w:rsid w:val="002E5566"/>
    <w:rPr>
      <w:color w:val="0563C1" w:themeColor="hyperlink"/>
      <w:u w:val="single"/>
    </w:rPr>
  </w:style>
  <w:style w:type="character" w:styleId="Mencinsinresolver">
    <w:name w:val="Unresolved Mention"/>
    <w:basedOn w:val="Fuentedeprrafopredeter"/>
    <w:uiPriority w:val="99"/>
    <w:rsid w:val="002E5566"/>
    <w:rPr>
      <w:color w:val="605E5C"/>
      <w:shd w:val="clear" w:color="auto" w:fill="E1DFDD"/>
    </w:rPr>
  </w:style>
  <w:style w:type="paragraph" w:styleId="Textocomentario">
    <w:name w:val="annotation text"/>
    <w:basedOn w:val="Normal"/>
    <w:link w:val="TextocomentarioCar"/>
    <w:uiPriority w:val="99"/>
    <w:semiHidden/>
    <w:unhideWhenUsed/>
    <w:rsid w:val="00A342B5"/>
    <w:pPr>
      <w:spacing w:after="200"/>
    </w:pPr>
    <w:rPr>
      <w:rFonts w:ascii="Cambria" w:eastAsia="Cambria" w:hAnsi="Cambria" w:cs="Cambria"/>
      <w:sz w:val="20"/>
      <w:szCs w:val="20"/>
      <w:lang w:val="es-MX" w:eastAsia="ja-JP"/>
    </w:rPr>
  </w:style>
  <w:style w:type="character" w:customStyle="1" w:styleId="TextocomentarioCar">
    <w:name w:val="Texto comentario Car"/>
    <w:basedOn w:val="Fuentedeprrafopredeter"/>
    <w:link w:val="Textocomentario"/>
    <w:uiPriority w:val="99"/>
    <w:semiHidden/>
    <w:rsid w:val="00A342B5"/>
    <w:rPr>
      <w:rFonts w:ascii="Cambria" w:eastAsia="Cambria" w:hAnsi="Cambria" w:cs="Cambria"/>
      <w:sz w:val="20"/>
      <w:szCs w:val="20"/>
      <w:lang w:val="es-MX" w:eastAsia="ja-JP"/>
    </w:rPr>
  </w:style>
  <w:style w:type="paragraph" w:customStyle="1" w:styleId="xmsonormal">
    <w:name w:val="x_msonormal"/>
    <w:basedOn w:val="Normal"/>
    <w:rsid w:val="00440776"/>
    <w:rPr>
      <w:rFonts w:ascii="Calibri" w:eastAsia="Calibri" w:hAnsi="Calibri" w:cs="Calibri"/>
      <w:sz w:val="22"/>
      <w:szCs w:val="22"/>
      <w:lang w:val="es-MX" w:eastAsia="es-MX"/>
    </w:rPr>
  </w:style>
  <w:style w:type="paragraph" w:styleId="Revisin">
    <w:name w:val="Revision"/>
    <w:hidden/>
    <w:uiPriority w:val="99"/>
    <w:semiHidden/>
    <w:rsid w:val="00223847"/>
  </w:style>
  <w:style w:type="character" w:styleId="Refdecomentario">
    <w:name w:val="annotation reference"/>
    <w:basedOn w:val="Fuentedeprrafopredeter"/>
    <w:uiPriority w:val="99"/>
    <w:semiHidden/>
    <w:unhideWhenUsed/>
    <w:rsid w:val="00223847"/>
    <w:rPr>
      <w:sz w:val="16"/>
      <w:szCs w:val="16"/>
    </w:rPr>
  </w:style>
  <w:style w:type="paragraph" w:styleId="Asuntodelcomentario">
    <w:name w:val="annotation subject"/>
    <w:basedOn w:val="Textocomentario"/>
    <w:next w:val="Textocomentario"/>
    <w:link w:val="AsuntodelcomentarioCar"/>
    <w:uiPriority w:val="99"/>
    <w:semiHidden/>
    <w:unhideWhenUsed/>
    <w:rsid w:val="00223847"/>
    <w:pPr>
      <w:spacing w:after="0"/>
    </w:pPr>
    <w:rPr>
      <w:rFonts w:asciiTheme="minorHAnsi" w:eastAsiaTheme="minorHAnsi"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223847"/>
    <w:rPr>
      <w:rFonts w:ascii="Cambria" w:eastAsia="Cambria" w:hAnsi="Cambria" w:cs="Cambria"/>
      <w:b/>
      <w:bCs/>
      <w:sz w:val="20"/>
      <w:szCs w:val="20"/>
      <w:lang w:val="es-MX" w:eastAsia="ja-JP"/>
    </w:rPr>
  </w:style>
  <w:style w:type="paragraph" w:styleId="Sinespaciado">
    <w:name w:val="No Spacing"/>
    <w:uiPriority w:val="1"/>
    <w:qFormat/>
    <w:rsid w:val="00346F60"/>
    <w:rPr>
      <w:sz w:val="22"/>
      <w:szCs w:val="22"/>
      <w:lang w:val="es-MX"/>
    </w:rPr>
  </w:style>
  <w:style w:type="character" w:styleId="Nmerodepgina">
    <w:name w:val="page number"/>
    <w:basedOn w:val="Fuentedeprrafopredeter"/>
    <w:uiPriority w:val="99"/>
    <w:semiHidden/>
    <w:unhideWhenUsed/>
    <w:rsid w:val="003E4E42"/>
  </w:style>
  <w:style w:type="paragraph" w:customStyle="1" w:styleId="Default">
    <w:name w:val="Default"/>
    <w:rsid w:val="001375B1"/>
    <w:pPr>
      <w:autoSpaceDE w:val="0"/>
      <w:autoSpaceDN w:val="0"/>
      <w:adjustRightInd w:val="0"/>
    </w:pPr>
    <w:rPr>
      <w:rFonts w:ascii="Calibri" w:eastAsia="Calibri" w:hAnsi="Calibri" w:cs="Calibri"/>
      <w:color w:val="000000"/>
      <w:lang w:val="es-MX"/>
    </w:rPr>
  </w:style>
  <w:style w:type="character" w:styleId="Textoennegrita">
    <w:name w:val="Strong"/>
    <w:basedOn w:val="Fuentedeprrafopredeter"/>
    <w:uiPriority w:val="22"/>
    <w:qFormat/>
    <w:rsid w:val="002E51F9"/>
    <w:rPr>
      <w:b/>
      <w:bCs/>
    </w:rPr>
  </w:style>
  <w:style w:type="character" w:customStyle="1" w:styleId="Ttulo3Car">
    <w:name w:val="Título 3 Car"/>
    <w:basedOn w:val="Fuentedeprrafopredeter"/>
    <w:link w:val="Ttulo3"/>
    <w:uiPriority w:val="9"/>
    <w:rsid w:val="007603D2"/>
    <w:rPr>
      <w:rFonts w:ascii="Times New Roman" w:eastAsia="Times New Roman" w:hAnsi="Times New Roman" w:cs="Times New Roman"/>
      <w:b/>
      <w:bCs/>
      <w:sz w:val="27"/>
      <w:szCs w:val="27"/>
      <w:lang w:val="es-MX" w:eastAsia="es-MX"/>
    </w:rPr>
  </w:style>
  <w:style w:type="paragraph" w:styleId="NormalWeb">
    <w:name w:val="Normal (Web)"/>
    <w:basedOn w:val="Normal"/>
    <w:uiPriority w:val="99"/>
    <w:unhideWhenUsed/>
    <w:rsid w:val="007603D2"/>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aliases w:val="FT,fn,Footnote Text AG,Footnote Text AG Char,Footnote Text Char1 Char,Footnote Text Char Char Char,Footnote Text AG Char Char Char,Footnote Text AG Char1 Char,Footnote Text Char1,Footnote Text Char Char,Footnote Text AG Char1,ft"/>
    <w:basedOn w:val="Normal"/>
    <w:link w:val="TextonotapieCar"/>
    <w:uiPriority w:val="99"/>
    <w:unhideWhenUsed/>
    <w:rsid w:val="00C21FFD"/>
    <w:rPr>
      <w:rFonts w:ascii="Calibri" w:eastAsia="Calibri" w:hAnsi="Calibri" w:cs="Times New Roman"/>
      <w:sz w:val="20"/>
      <w:szCs w:val="20"/>
      <w:lang w:val="es-MX"/>
    </w:rPr>
  </w:style>
  <w:style w:type="character" w:customStyle="1" w:styleId="TextonotapieCar">
    <w:name w:val="Texto nota pie Car"/>
    <w:aliases w:val="FT Car,fn Car,Footnote Text AG Car,Footnote Text AG Char Car,Footnote Text Char1 Char Car,Footnote Text Char Char Char Car,Footnote Text AG Char Char Char Car,Footnote Text AG Char1 Char Car,Footnote Text Char1 Car,ft Car"/>
    <w:basedOn w:val="Fuentedeprrafopredeter"/>
    <w:link w:val="Textonotapie"/>
    <w:uiPriority w:val="99"/>
    <w:rsid w:val="00C21FFD"/>
    <w:rPr>
      <w:rFonts w:ascii="Calibri" w:eastAsia="Calibri" w:hAnsi="Calibri" w:cs="Times New Roman"/>
      <w:sz w:val="20"/>
      <w:szCs w:val="20"/>
      <w:lang w:val="es-MX"/>
    </w:rPr>
  </w:style>
  <w:style w:type="character" w:styleId="Refdenotaalpie">
    <w:name w:val="footnote reference"/>
    <w:aliases w:val="fr"/>
    <w:uiPriority w:val="99"/>
    <w:unhideWhenUsed/>
    <w:rsid w:val="00C21FFD"/>
    <w:rPr>
      <w:vertAlign w:val="superscript"/>
    </w:rPr>
  </w:style>
  <w:style w:type="character" w:customStyle="1" w:styleId="Ttulo1Car">
    <w:name w:val="Título 1 Car"/>
    <w:basedOn w:val="Fuentedeprrafopredeter"/>
    <w:link w:val="Ttulo1"/>
    <w:uiPriority w:val="9"/>
    <w:rsid w:val="00AE1B13"/>
    <w:rPr>
      <w:rFonts w:asciiTheme="majorHAnsi" w:eastAsiaTheme="majorEastAsia" w:hAnsiTheme="majorHAnsi" w:cstheme="majorBidi"/>
      <w:color w:val="2F5496" w:themeColor="accent1" w:themeShade="BF"/>
      <w:sz w:val="32"/>
      <w:szCs w:val="32"/>
    </w:rPr>
  </w:style>
  <w:style w:type="paragraph" w:customStyle="1" w:styleId="jsx-3954459878">
    <w:name w:val="jsx-3954459878"/>
    <w:basedOn w:val="Normal"/>
    <w:rsid w:val="00E27037"/>
    <w:pPr>
      <w:spacing w:before="100" w:beforeAutospacing="1" w:after="100" w:afterAutospacing="1"/>
    </w:pPr>
    <w:rPr>
      <w:rFonts w:ascii="Times New Roman" w:eastAsia="Times New Roman" w:hAnsi="Times New Roman" w:cs="Times New Roman"/>
      <w:lang w:val="en-US"/>
    </w:rPr>
  </w:style>
  <w:style w:type="character" w:styleId="Hipervnculovisitado">
    <w:name w:val="FollowedHyperlink"/>
    <w:basedOn w:val="Fuentedeprrafopredeter"/>
    <w:uiPriority w:val="99"/>
    <w:semiHidden/>
    <w:unhideWhenUsed/>
    <w:rsid w:val="00EF2E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25850">
      <w:bodyDiv w:val="1"/>
      <w:marLeft w:val="0"/>
      <w:marRight w:val="0"/>
      <w:marTop w:val="0"/>
      <w:marBottom w:val="0"/>
      <w:divBdr>
        <w:top w:val="none" w:sz="0" w:space="0" w:color="auto"/>
        <w:left w:val="none" w:sz="0" w:space="0" w:color="auto"/>
        <w:bottom w:val="none" w:sz="0" w:space="0" w:color="auto"/>
        <w:right w:val="none" w:sz="0" w:space="0" w:color="auto"/>
      </w:divBdr>
    </w:div>
    <w:div w:id="735205558">
      <w:bodyDiv w:val="1"/>
      <w:marLeft w:val="0"/>
      <w:marRight w:val="0"/>
      <w:marTop w:val="0"/>
      <w:marBottom w:val="0"/>
      <w:divBdr>
        <w:top w:val="none" w:sz="0" w:space="0" w:color="auto"/>
        <w:left w:val="none" w:sz="0" w:space="0" w:color="auto"/>
        <w:bottom w:val="none" w:sz="0" w:space="0" w:color="auto"/>
        <w:right w:val="none" w:sz="0" w:space="0" w:color="auto"/>
      </w:divBdr>
    </w:div>
    <w:div w:id="792020328">
      <w:bodyDiv w:val="1"/>
      <w:marLeft w:val="0"/>
      <w:marRight w:val="0"/>
      <w:marTop w:val="0"/>
      <w:marBottom w:val="0"/>
      <w:divBdr>
        <w:top w:val="none" w:sz="0" w:space="0" w:color="auto"/>
        <w:left w:val="none" w:sz="0" w:space="0" w:color="auto"/>
        <w:bottom w:val="none" w:sz="0" w:space="0" w:color="auto"/>
        <w:right w:val="none" w:sz="0" w:space="0" w:color="auto"/>
      </w:divBdr>
    </w:div>
    <w:div w:id="905184018">
      <w:bodyDiv w:val="1"/>
      <w:marLeft w:val="0"/>
      <w:marRight w:val="0"/>
      <w:marTop w:val="0"/>
      <w:marBottom w:val="0"/>
      <w:divBdr>
        <w:top w:val="none" w:sz="0" w:space="0" w:color="auto"/>
        <w:left w:val="none" w:sz="0" w:space="0" w:color="auto"/>
        <w:bottom w:val="none" w:sz="0" w:space="0" w:color="auto"/>
        <w:right w:val="none" w:sz="0" w:space="0" w:color="auto"/>
      </w:divBdr>
    </w:div>
    <w:div w:id="935212459">
      <w:bodyDiv w:val="1"/>
      <w:marLeft w:val="0"/>
      <w:marRight w:val="0"/>
      <w:marTop w:val="0"/>
      <w:marBottom w:val="0"/>
      <w:divBdr>
        <w:top w:val="none" w:sz="0" w:space="0" w:color="auto"/>
        <w:left w:val="none" w:sz="0" w:space="0" w:color="auto"/>
        <w:bottom w:val="none" w:sz="0" w:space="0" w:color="auto"/>
        <w:right w:val="none" w:sz="0" w:space="0" w:color="auto"/>
      </w:divBdr>
    </w:div>
    <w:div w:id="1092240565">
      <w:bodyDiv w:val="1"/>
      <w:marLeft w:val="0"/>
      <w:marRight w:val="0"/>
      <w:marTop w:val="0"/>
      <w:marBottom w:val="0"/>
      <w:divBdr>
        <w:top w:val="none" w:sz="0" w:space="0" w:color="auto"/>
        <w:left w:val="none" w:sz="0" w:space="0" w:color="auto"/>
        <w:bottom w:val="none" w:sz="0" w:space="0" w:color="auto"/>
        <w:right w:val="none" w:sz="0" w:space="0" w:color="auto"/>
      </w:divBdr>
    </w:div>
    <w:div w:id="1133330978">
      <w:bodyDiv w:val="1"/>
      <w:marLeft w:val="0"/>
      <w:marRight w:val="0"/>
      <w:marTop w:val="0"/>
      <w:marBottom w:val="0"/>
      <w:divBdr>
        <w:top w:val="none" w:sz="0" w:space="0" w:color="auto"/>
        <w:left w:val="none" w:sz="0" w:space="0" w:color="auto"/>
        <w:bottom w:val="none" w:sz="0" w:space="0" w:color="auto"/>
        <w:right w:val="none" w:sz="0" w:space="0" w:color="auto"/>
      </w:divBdr>
    </w:div>
    <w:div w:id="1303189756">
      <w:bodyDiv w:val="1"/>
      <w:marLeft w:val="0"/>
      <w:marRight w:val="0"/>
      <w:marTop w:val="0"/>
      <w:marBottom w:val="0"/>
      <w:divBdr>
        <w:top w:val="none" w:sz="0" w:space="0" w:color="auto"/>
        <w:left w:val="none" w:sz="0" w:space="0" w:color="auto"/>
        <w:bottom w:val="none" w:sz="0" w:space="0" w:color="auto"/>
        <w:right w:val="none" w:sz="0" w:space="0" w:color="auto"/>
      </w:divBdr>
    </w:div>
    <w:div w:id="1349214119">
      <w:bodyDiv w:val="1"/>
      <w:marLeft w:val="0"/>
      <w:marRight w:val="0"/>
      <w:marTop w:val="0"/>
      <w:marBottom w:val="0"/>
      <w:divBdr>
        <w:top w:val="none" w:sz="0" w:space="0" w:color="auto"/>
        <w:left w:val="none" w:sz="0" w:space="0" w:color="auto"/>
        <w:bottom w:val="none" w:sz="0" w:space="0" w:color="auto"/>
        <w:right w:val="none" w:sz="0" w:space="0" w:color="auto"/>
      </w:divBdr>
    </w:div>
    <w:div w:id="1385064694">
      <w:bodyDiv w:val="1"/>
      <w:marLeft w:val="0"/>
      <w:marRight w:val="0"/>
      <w:marTop w:val="0"/>
      <w:marBottom w:val="0"/>
      <w:divBdr>
        <w:top w:val="none" w:sz="0" w:space="0" w:color="auto"/>
        <w:left w:val="none" w:sz="0" w:space="0" w:color="auto"/>
        <w:bottom w:val="none" w:sz="0" w:space="0" w:color="auto"/>
        <w:right w:val="none" w:sz="0" w:space="0" w:color="auto"/>
      </w:divBdr>
    </w:div>
    <w:div w:id="1491409706">
      <w:bodyDiv w:val="1"/>
      <w:marLeft w:val="0"/>
      <w:marRight w:val="0"/>
      <w:marTop w:val="0"/>
      <w:marBottom w:val="0"/>
      <w:divBdr>
        <w:top w:val="none" w:sz="0" w:space="0" w:color="auto"/>
        <w:left w:val="none" w:sz="0" w:space="0" w:color="auto"/>
        <w:bottom w:val="none" w:sz="0" w:space="0" w:color="auto"/>
        <w:right w:val="none" w:sz="0" w:space="0" w:color="auto"/>
      </w:divBdr>
    </w:div>
    <w:div w:id="1578588736">
      <w:bodyDiv w:val="1"/>
      <w:marLeft w:val="0"/>
      <w:marRight w:val="0"/>
      <w:marTop w:val="0"/>
      <w:marBottom w:val="0"/>
      <w:divBdr>
        <w:top w:val="none" w:sz="0" w:space="0" w:color="auto"/>
        <w:left w:val="none" w:sz="0" w:space="0" w:color="auto"/>
        <w:bottom w:val="none" w:sz="0" w:space="0" w:color="auto"/>
        <w:right w:val="none" w:sz="0" w:space="0" w:color="auto"/>
      </w:divBdr>
    </w:div>
    <w:div w:id="199525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leconomista.com.mx/economia/SAT-recaudo-233270-millones-de-pesos-por-auditorias-a-grandes-contribuyentes-20230104-0032.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SAT221</b:Tag>
    <b:SourceType>DocumentFromInternetSite</b:SourceType>
    <b:Guid>{D109990E-2D95-2745-AA8F-B27D6CA7A848}</b:Guid>
    <b:Title>Factura Electrónica 4.0</b:Title>
    <b:InternetSiteTitle>Twitter</b:InternetSiteTitle>
    <b:URL>https://twitter.com/SATMX/status/1531655671896219648?ref_src=twsrc%5Etfw%7Ctwcamp%5Etweetembed%7Ctwterm%5E1531655671896219648%7Ctwgr%5E973e8785b130987bf09834899a5efdc191e95711%7Ctwcon%5Es1_&amp;ref_url=https%3A%2F%2Felceo.com%2Ftu-cartera%2Fmitos-y-realidades</b:URL>
    <b:Year>2022</b:Year>
    <b:Month>Mayo</b:Month>
    <b:Day>31</b:Day>
    <b:Author>
      <b:Author>
        <b:Corporate>SAT</b:Corporate>
      </b:Author>
    </b:Author>
    <b:YearAccessed>2023</b:YearAccessed>
    <b:MonthAccessed>Marzo</b:MonthAccesse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E0AAC80AABC9F4080C574BC56E9EBA9" ma:contentTypeVersion="15" ma:contentTypeDescription="Create a new document." ma:contentTypeScope="" ma:versionID="60395dd125e47fb3d8af25137911e838">
  <xsd:schema xmlns:xsd="http://www.w3.org/2001/XMLSchema" xmlns:xs="http://www.w3.org/2001/XMLSchema" xmlns:p="http://schemas.microsoft.com/office/2006/metadata/properties" xmlns:ns3="85ab3b03-0682-47ca-a4a4-3275ce0aa35d" xmlns:ns4="fa8871fc-7de8-4fdb-bbb3-5c6f97b65ffa" targetNamespace="http://schemas.microsoft.com/office/2006/metadata/properties" ma:root="true" ma:fieldsID="f3765b3bfa8cefe86b4d9b0ea908fe47" ns3:_="" ns4:_="">
    <xsd:import namespace="85ab3b03-0682-47ca-a4a4-3275ce0aa35d"/>
    <xsd:import namespace="fa8871fc-7de8-4fdb-bbb3-5c6f97b6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b3b03-0682-47ca-a4a4-3275ce0aa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8871fc-7de8-4fdb-bbb3-5c6f97b65ff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5ab3b03-0682-47ca-a4a4-3275ce0aa35d" xsi:nil="true"/>
  </documentManagement>
</p:properties>
</file>

<file path=customXml/itemProps1.xml><?xml version="1.0" encoding="utf-8"?>
<ds:datastoreItem xmlns:ds="http://schemas.openxmlformats.org/officeDocument/2006/customXml" ds:itemID="{C6F3B39B-415B-445E-84A2-84EA861490E4}">
  <ds:schemaRefs>
    <ds:schemaRef ds:uri="http://schemas.openxmlformats.org/officeDocument/2006/bibliography"/>
  </ds:schemaRefs>
</ds:datastoreItem>
</file>

<file path=customXml/itemProps2.xml><?xml version="1.0" encoding="utf-8"?>
<ds:datastoreItem xmlns:ds="http://schemas.openxmlformats.org/officeDocument/2006/customXml" ds:itemID="{380D3C3B-9209-461B-BCD3-515394644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b3b03-0682-47ca-a4a4-3275ce0aa35d"/>
    <ds:schemaRef ds:uri="fa8871fc-7de8-4fdb-bbb3-5c6f97b6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0DD71-CD38-4741-8ABE-9209D3873307}">
  <ds:schemaRefs>
    <ds:schemaRef ds:uri="http://schemas.microsoft.com/sharepoint/v3/contenttype/forms"/>
  </ds:schemaRefs>
</ds:datastoreItem>
</file>

<file path=customXml/itemProps4.xml><?xml version="1.0" encoding="utf-8"?>
<ds:datastoreItem xmlns:ds="http://schemas.openxmlformats.org/officeDocument/2006/customXml" ds:itemID="{BBC72DF1-CC36-4D33-A55B-9D880C17BF82}">
  <ds:schemaRefs>
    <ds:schemaRef ds:uri="http://schemas.microsoft.com/office/2006/metadata/properties"/>
    <ds:schemaRef ds:uri="http://schemas.microsoft.com/office/infopath/2007/PartnerControls"/>
    <ds:schemaRef ds:uri="85ab3b03-0682-47ca-a4a4-3275ce0aa35d"/>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12</Pages>
  <Words>3850</Words>
  <Characters>21178</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Dzoara Edith Rodríguez Velazquez</cp:lastModifiedBy>
  <cp:revision>188</cp:revision>
  <cp:lastPrinted>2023-03-22T00:01:00Z</cp:lastPrinted>
  <dcterms:created xsi:type="dcterms:W3CDTF">2023-03-21T17:30:00Z</dcterms:created>
  <dcterms:modified xsi:type="dcterms:W3CDTF">2023-03-22T03:46:00Z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0x0101006E0AAC80AABC9F4080C574BC56E9EBA9</vt:lpwstr>
  </property>
</Properties>
</file>